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DE563" w14:textId="77777777" w:rsidR="00536AAA" w:rsidRPr="008D0CB1" w:rsidRDefault="00000000">
      <w:pPr>
        <w:spacing w:after="0" w:line="240" w:lineRule="auto"/>
        <w:ind w:right="-189"/>
        <w:jc w:val="center"/>
        <w:rPr>
          <w:rFonts w:ascii="Times New Roman" w:eastAsia="Times New Roman" w:hAnsi="Times New Roman" w:cs="Times New Roman"/>
          <w:b/>
          <w:bCs/>
          <w:sz w:val="24"/>
          <w:szCs w:val="24"/>
        </w:rPr>
      </w:pPr>
      <w:r w:rsidRPr="008D0CB1">
        <w:rPr>
          <w:rFonts w:ascii="Times New Roman" w:eastAsia="Times New Roman" w:hAnsi="Times New Roman" w:cs="Times New Roman"/>
          <w:b/>
          <w:bCs/>
          <w:sz w:val="24"/>
          <w:szCs w:val="24"/>
        </w:rPr>
        <w:t xml:space="preserve">BIỂU </w:t>
      </w:r>
    </w:p>
    <w:p w14:paraId="2CB5C17C" w14:textId="23352D5E" w:rsidR="00536AAA" w:rsidRPr="008D0CB1" w:rsidRDefault="00000000">
      <w:pPr>
        <w:spacing w:after="0" w:line="240" w:lineRule="auto"/>
        <w:ind w:right="-189"/>
        <w:jc w:val="center"/>
        <w:rPr>
          <w:rFonts w:ascii="Times New Roman" w:eastAsia="Times New Roman" w:hAnsi="Times New Roman" w:cs="Times New Roman"/>
          <w:b/>
          <w:bCs/>
          <w:sz w:val="24"/>
          <w:szCs w:val="24"/>
        </w:rPr>
      </w:pPr>
      <w:r w:rsidRPr="008D0CB1">
        <w:rPr>
          <w:rFonts w:ascii="Times New Roman" w:eastAsia="Times New Roman" w:hAnsi="Times New Roman" w:cs="Times New Roman"/>
          <w:b/>
          <w:bCs/>
          <w:sz w:val="24"/>
          <w:szCs w:val="24"/>
        </w:rPr>
        <w:t xml:space="preserve">TRẢ LỜI CÁC KIẾN NGHỊ CỬ TRI NHIỆM KỲ 2021-2026 </w:t>
      </w:r>
    </w:p>
    <w:p w14:paraId="53CC8691" w14:textId="39A5A845" w:rsidR="00536AAA" w:rsidRPr="008D0CB1" w:rsidRDefault="00000000">
      <w:pPr>
        <w:spacing w:after="0"/>
        <w:jc w:val="center"/>
        <w:rPr>
          <w:rFonts w:ascii="Times New Roman" w:eastAsia="Times New Roman" w:hAnsi="Times New Roman" w:cs="Times New Roman"/>
          <w:i/>
          <w:iCs/>
          <w:sz w:val="24"/>
          <w:szCs w:val="24"/>
        </w:rPr>
      </w:pPr>
      <w:r w:rsidRPr="008D0CB1">
        <w:rPr>
          <w:rFonts w:ascii="Times New Roman" w:eastAsia="Times New Roman" w:hAnsi="Times New Roman" w:cs="Times New Roman"/>
          <w:i/>
          <w:iCs/>
          <w:sz w:val="24"/>
          <w:szCs w:val="24"/>
        </w:rPr>
        <w:t xml:space="preserve">(Kèm theo Công văn số </w:t>
      </w:r>
      <w:r w:rsidR="008D0CB1" w:rsidRPr="008D0CB1">
        <w:rPr>
          <w:rFonts w:ascii="Times New Roman" w:eastAsia="Times New Roman" w:hAnsi="Times New Roman" w:cs="Times New Roman"/>
          <w:i/>
          <w:iCs/>
          <w:sz w:val="24"/>
          <w:szCs w:val="24"/>
        </w:rPr>
        <w:t>2003</w:t>
      </w:r>
      <w:r w:rsidRPr="008D0CB1">
        <w:rPr>
          <w:rFonts w:ascii="Times New Roman" w:eastAsia="Times New Roman" w:hAnsi="Times New Roman" w:cs="Times New Roman"/>
          <w:i/>
          <w:iCs/>
          <w:sz w:val="24"/>
          <w:szCs w:val="24"/>
        </w:rPr>
        <w:t xml:space="preserve">  /UBND-TH ngày </w:t>
      </w:r>
      <w:r w:rsidR="008D0CB1" w:rsidRPr="008D0CB1">
        <w:rPr>
          <w:rFonts w:ascii="Times New Roman" w:eastAsia="Times New Roman" w:hAnsi="Times New Roman" w:cs="Times New Roman"/>
          <w:i/>
          <w:iCs/>
          <w:sz w:val="24"/>
          <w:szCs w:val="24"/>
        </w:rPr>
        <w:t>11</w:t>
      </w:r>
      <w:r w:rsidRPr="008D0CB1">
        <w:rPr>
          <w:rFonts w:ascii="Times New Roman" w:eastAsia="Times New Roman" w:hAnsi="Times New Roman" w:cs="Times New Roman"/>
          <w:i/>
          <w:iCs/>
          <w:sz w:val="24"/>
          <w:szCs w:val="24"/>
        </w:rPr>
        <w:t xml:space="preserve"> tháng  5   năm 2026 của UBND Thành phố)</w:t>
      </w:r>
      <w:r w:rsidRPr="008D0CB1">
        <w:rPr>
          <w:noProof/>
        </w:rPr>
        <mc:AlternateContent>
          <mc:Choice Requires="wps">
            <w:drawing>
              <wp:anchor distT="4294967295" distB="4294967295" distL="114300" distR="114300" simplePos="0" relativeHeight="251658240" behindDoc="0" locked="0" layoutInCell="1" hidden="0" allowOverlap="1" wp14:anchorId="54F20170" wp14:editId="632E0CF0">
                <wp:simplePos x="0" y="0"/>
                <wp:positionH relativeFrom="column">
                  <wp:posOffset>3394710</wp:posOffset>
                </wp:positionH>
                <wp:positionV relativeFrom="paragraph">
                  <wp:posOffset>212725</wp:posOffset>
                </wp:positionV>
                <wp:extent cx="27495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971225" y="3780000"/>
                          <a:ext cx="2749550"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3394710</wp:posOffset>
                </wp:positionH>
                <wp:positionV relativeFrom="paragraph">
                  <wp:posOffset>212725</wp:posOffset>
                </wp:positionV>
                <wp:extent cx="274955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749550" cy="12700"/>
                        </a:xfrm>
                        <a:prstGeom prst="rect"/>
                        <a:ln/>
                      </pic:spPr>
                    </pic:pic>
                  </a:graphicData>
                </a:graphic>
              </wp:anchor>
            </w:drawing>
          </mc:Fallback>
        </mc:AlternateContent>
      </w:r>
    </w:p>
    <w:p w14:paraId="68533E51" w14:textId="77777777" w:rsidR="00536AAA" w:rsidRPr="008D0CB1" w:rsidRDefault="00536AAA">
      <w:pPr>
        <w:spacing w:after="0" w:line="240" w:lineRule="auto"/>
        <w:jc w:val="center"/>
        <w:rPr>
          <w:rFonts w:ascii="Times New Roman" w:eastAsia="Times New Roman" w:hAnsi="Times New Roman" w:cs="Times New Roman"/>
          <w:i/>
          <w:iCs/>
          <w:sz w:val="24"/>
          <w:szCs w:val="24"/>
        </w:rPr>
      </w:pPr>
    </w:p>
    <w:tbl>
      <w:tblPr>
        <w:tblStyle w:val="a"/>
        <w:tblW w:w="151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4125"/>
        <w:gridCol w:w="5715"/>
        <w:gridCol w:w="885"/>
        <w:gridCol w:w="900"/>
        <w:gridCol w:w="1605"/>
        <w:gridCol w:w="1245"/>
      </w:tblGrid>
      <w:tr w:rsidR="008D0CB1" w:rsidRPr="008D0CB1" w14:paraId="14DD8A9E" w14:textId="77777777">
        <w:trPr>
          <w:trHeight w:val="427"/>
          <w:tblHeader/>
        </w:trPr>
        <w:tc>
          <w:tcPr>
            <w:tcW w:w="705" w:type="dxa"/>
            <w:vMerge w:val="restart"/>
            <w:tcBorders>
              <w:top w:val="single" w:sz="4" w:space="0" w:color="000000"/>
              <w:left w:val="single" w:sz="4" w:space="0" w:color="000000"/>
              <w:bottom w:val="single" w:sz="4" w:space="0" w:color="000000"/>
              <w:right w:val="single" w:sz="4" w:space="0" w:color="000000"/>
            </w:tcBorders>
            <w:vAlign w:val="center"/>
          </w:tcPr>
          <w:p w14:paraId="5C8A9ADE" w14:textId="77777777" w:rsidR="00536AAA" w:rsidRPr="008D0CB1" w:rsidRDefault="00000000">
            <w:pPr>
              <w:spacing w:after="0"/>
              <w:ind w:left="-18"/>
              <w:jc w:val="center"/>
              <w:rPr>
                <w:b/>
                <w:bCs/>
                <w:sz w:val="24"/>
                <w:szCs w:val="24"/>
              </w:rPr>
            </w:pPr>
            <w:r w:rsidRPr="008D0CB1">
              <w:rPr>
                <w:b/>
                <w:bCs/>
                <w:sz w:val="24"/>
                <w:szCs w:val="24"/>
              </w:rPr>
              <w:t>STT</w:t>
            </w:r>
          </w:p>
        </w:tc>
        <w:tc>
          <w:tcPr>
            <w:tcW w:w="4125" w:type="dxa"/>
            <w:vMerge w:val="restart"/>
            <w:tcBorders>
              <w:top w:val="single" w:sz="4" w:space="0" w:color="000000"/>
              <w:left w:val="single" w:sz="4" w:space="0" w:color="000000"/>
              <w:bottom w:val="single" w:sz="4" w:space="0" w:color="000000"/>
              <w:right w:val="single" w:sz="4" w:space="0" w:color="000000"/>
            </w:tcBorders>
            <w:vAlign w:val="center"/>
          </w:tcPr>
          <w:p w14:paraId="4C6410A3" w14:textId="77777777" w:rsidR="00536AAA" w:rsidRPr="008D0CB1" w:rsidRDefault="00000000">
            <w:pPr>
              <w:spacing w:after="0"/>
              <w:jc w:val="center"/>
              <w:rPr>
                <w:b/>
                <w:bCs/>
                <w:sz w:val="24"/>
                <w:szCs w:val="24"/>
              </w:rPr>
            </w:pPr>
            <w:r w:rsidRPr="008D0CB1">
              <w:rPr>
                <w:b/>
                <w:bCs/>
                <w:sz w:val="24"/>
                <w:szCs w:val="24"/>
              </w:rPr>
              <w:t>Nội dung kiến nghị</w:t>
            </w:r>
          </w:p>
        </w:tc>
        <w:tc>
          <w:tcPr>
            <w:tcW w:w="5715" w:type="dxa"/>
            <w:vMerge w:val="restart"/>
            <w:tcBorders>
              <w:top w:val="single" w:sz="4" w:space="0" w:color="000000"/>
              <w:left w:val="single" w:sz="4" w:space="0" w:color="000000"/>
              <w:right w:val="single" w:sz="4" w:space="0" w:color="000000"/>
            </w:tcBorders>
            <w:vAlign w:val="center"/>
          </w:tcPr>
          <w:p w14:paraId="35DF1CD3" w14:textId="77777777" w:rsidR="00536AAA" w:rsidRPr="008D0CB1" w:rsidRDefault="00000000">
            <w:pPr>
              <w:spacing w:after="0"/>
              <w:jc w:val="center"/>
              <w:rPr>
                <w:b/>
                <w:bCs/>
                <w:sz w:val="24"/>
                <w:szCs w:val="24"/>
              </w:rPr>
            </w:pPr>
            <w:r w:rsidRPr="008D0CB1">
              <w:rPr>
                <w:b/>
                <w:bCs/>
                <w:sz w:val="24"/>
                <w:szCs w:val="24"/>
              </w:rPr>
              <w:t>UBND Thành phố trả lời</w:t>
            </w:r>
          </w:p>
        </w:tc>
        <w:tc>
          <w:tcPr>
            <w:tcW w:w="3390" w:type="dxa"/>
            <w:gridSpan w:val="3"/>
            <w:tcBorders>
              <w:top w:val="single" w:sz="4" w:space="0" w:color="000000"/>
              <w:left w:val="single" w:sz="4" w:space="0" w:color="000000"/>
              <w:bottom w:val="single" w:sz="4" w:space="0" w:color="000000"/>
              <w:right w:val="single" w:sz="4" w:space="0" w:color="000000"/>
            </w:tcBorders>
            <w:vAlign w:val="center"/>
          </w:tcPr>
          <w:p w14:paraId="4B619BCD" w14:textId="77777777" w:rsidR="00536AAA" w:rsidRPr="008D0CB1" w:rsidRDefault="00000000">
            <w:pPr>
              <w:spacing w:after="0"/>
              <w:jc w:val="center"/>
              <w:rPr>
                <w:b/>
                <w:bCs/>
                <w:sz w:val="24"/>
                <w:szCs w:val="24"/>
              </w:rPr>
            </w:pPr>
            <w:r w:rsidRPr="008D0CB1">
              <w:rPr>
                <w:b/>
                <w:bCs/>
                <w:sz w:val="24"/>
                <w:szCs w:val="24"/>
              </w:rPr>
              <w:t>Kết quả giải quyết</w:t>
            </w:r>
          </w:p>
          <w:p w14:paraId="7AA2D672" w14:textId="77777777" w:rsidR="00536AAA" w:rsidRPr="008D0CB1" w:rsidRDefault="00000000">
            <w:pPr>
              <w:spacing w:after="0"/>
              <w:jc w:val="center"/>
              <w:rPr>
                <w:sz w:val="24"/>
                <w:szCs w:val="24"/>
              </w:rPr>
            </w:pPr>
            <w:r w:rsidRPr="008D0CB1">
              <w:rPr>
                <w:sz w:val="24"/>
                <w:szCs w:val="24"/>
              </w:rPr>
              <w:t>(Dự kiến thời gian hoàn thành)</w:t>
            </w:r>
          </w:p>
        </w:tc>
        <w:tc>
          <w:tcPr>
            <w:tcW w:w="1245" w:type="dxa"/>
            <w:vMerge w:val="restart"/>
            <w:tcBorders>
              <w:top w:val="single" w:sz="4" w:space="0" w:color="000000"/>
              <w:left w:val="single" w:sz="4" w:space="0" w:color="000000"/>
              <w:right w:val="single" w:sz="4" w:space="0" w:color="000000"/>
            </w:tcBorders>
            <w:vAlign w:val="center"/>
          </w:tcPr>
          <w:p w14:paraId="5409BE7C" w14:textId="77777777" w:rsidR="00536AAA" w:rsidRPr="008D0CB1" w:rsidRDefault="00000000">
            <w:pPr>
              <w:spacing w:after="0"/>
              <w:jc w:val="center"/>
              <w:rPr>
                <w:b/>
                <w:bCs/>
                <w:sz w:val="24"/>
                <w:szCs w:val="24"/>
              </w:rPr>
            </w:pPr>
            <w:r w:rsidRPr="008D0CB1">
              <w:rPr>
                <w:b/>
                <w:bCs/>
                <w:sz w:val="24"/>
                <w:szCs w:val="24"/>
              </w:rPr>
              <w:t>Đơn vị tham mưu giải quyết; Nguyên nhân trách nhiệm</w:t>
            </w:r>
          </w:p>
        </w:tc>
      </w:tr>
      <w:tr w:rsidR="008D0CB1" w:rsidRPr="008D0CB1" w14:paraId="3C46A8C1" w14:textId="77777777">
        <w:trPr>
          <w:trHeight w:val="602"/>
          <w:tblHeader/>
        </w:trPr>
        <w:tc>
          <w:tcPr>
            <w:tcW w:w="705" w:type="dxa"/>
            <w:vMerge/>
            <w:tcBorders>
              <w:top w:val="single" w:sz="4" w:space="0" w:color="000000"/>
              <w:left w:val="single" w:sz="4" w:space="0" w:color="000000"/>
              <w:bottom w:val="single" w:sz="4" w:space="0" w:color="000000"/>
              <w:right w:val="single" w:sz="4" w:space="0" w:color="000000"/>
            </w:tcBorders>
            <w:vAlign w:val="center"/>
          </w:tcPr>
          <w:p w14:paraId="121B94A3" w14:textId="77777777" w:rsidR="00536AAA" w:rsidRPr="008D0CB1" w:rsidRDefault="00536AAA">
            <w:pPr>
              <w:widowControl w:val="0"/>
              <w:pBdr>
                <w:top w:val="nil"/>
                <w:left w:val="nil"/>
                <w:bottom w:val="nil"/>
                <w:right w:val="nil"/>
                <w:between w:val="nil"/>
              </w:pBdr>
              <w:spacing w:after="0" w:line="276" w:lineRule="auto"/>
              <w:rPr>
                <w:b/>
                <w:bCs/>
                <w:sz w:val="24"/>
                <w:szCs w:val="24"/>
              </w:rPr>
            </w:pPr>
          </w:p>
        </w:tc>
        <w:tc>
          <w:tcPr>
            <w:tcW w:w="4125" w:type="dxa"/>
            <w:vMerge/>
            <w:tcBorders>
              <w:top w:val="single" w:sz="4" w:space="0" w:color="000000"/>
              <w:left w:val="single" w:sz="4" w:space="0" w:color="000000"/>
              <w:bottom w:val="single" w:sz="4" w:space="0" w:color="000000"/>
              <w:right w:val="single" w:sz="4" w:space="0" w:color="000000"/>
            </w:tcBorders>
            <w:vAlign w:val="center"/>
          </w:tcPr>
          <w:p w14:paraId="4721DE66" w14:textId="77777777" w:rsidR="00536AAA" w:rsidRPr="008D0CB1" w:rsidRDefault="00536AAA">
            <w:pPr>
              <w:widowControl w:val="0"/>
              <w:pBdr>
                <w:top w:val="nil"/>
                <w:left w:val="nil"/>
                <w:bottom w:val="nil"/>
                <w:right w:val="nil"/>
                <w:between w:val="nil"/>
              </w:pBdr>
              <w:spacing w:after="0" w:line="276" w:lineRule="auto"/>
              <w:rPr>
                <w:b/>
                <w:bCs/>
                <w:sz w:val="24"/>
                <w:szCs w:val="24"/>
              </w:rPr>
            </w:pPr>
          </w:p>
        </w:tc>
        <w:tc>
          <w:tcPr>
            <w:tcW w:w="5715" w:type="dxa"/>
            <w:vMerge/>
            <w:tcBorders>
              <w:top w:val="single" w:sz="4" w:space="0" w:color="000000"/>
              <w:left w:val="single" w:sz="4" w:space="0" w:color="000000"/>
              <w:right w:val="single" w:sz="4" w:space="0" w:color="000000"/>
            </w:tcBorders>
            <w:vAlign w:val="center"/>
          </w:tcPr>
          <w:p w14:paraId="795DB6D5" w14:textId="77777777" w:rsidR="00536AAA" w:rsidRPr="008D0CB1" w:rsidRDefault="00536AAA">
            <w:pPr>
              <w:widowControl w:val="0"/>
              <w:pBdr>
                <w:top w:val="nil"/>
                <w:left w:val="nil"/>
                <w:bottom w:val="nil"/>
                <w:right w:val="nil"/>
                <w:between w:val="nil"/>
              </w:pBdr>
              <w:spacing w:after="0" w:line="276" w:lineRule="auto"/>
              <w:rPr>
                <w:b/>
                <w:bCs/>
                <w:sz w:val="24"/>
                <w:szCs w:val="24"/>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1B3C0A09" w14:textId="77777777" w:rsidR="00536AAA" w:rsidRPr="008D0CB1" w:rsidRDefault="00000000">
            <w:pPr>
              <w:spacing w:after="0"/>
              <w:jc w:val="center"/>
              <w:rPr>
                <w:b/>
                <w:bCs/>
                <w:sz w:val="24"/>
                <w:szCs w:val="24"/>
              </w:rPr>
            </w:pPr>
            <w:r w:rsidRPr="008D0CB1">
              <w:rPr>
                <w:b/>
                <w:bCs/>
                <w:sz w:val="24"/>
                <w:szCs w:val="24"/>
              </w:rPr>
              <w:t>Đã giải quyết</w:t>
            </w:r>
          </w:p>
          <w:p w14:paraId="6959AA19" w14:textId="77777777" w:rsidR="00536AAA" w:rsidRPr="008D0CB1" w:rsidRDefault="00000000">
            <w:pPr>
              <w:spacing w:after="0"/>
              <w:jc w:val="center"/>
              <w:rPr>
                <w:b/>
                <w:bCs/>
                <w:sz w:val="24"/>
                <w:szCs w:val="24"/>
              </w:rPr>
            </w:pPr>
            <w:r w:rsidRPr="008D0CB1">
              <w:rPr>
                <w:b/>
                <w:bCs/>
                <w:sz w:val="24"/>
                <w:szCs w:val="24"/>
              </w:rPr>
              <w:t>(a/b/c)*</w:t>
            </w:r>
          </w:p>
        </w:tc>
        <w:tc>
          <w:tcPr>
            <w:tcW w:w="900" w:type="dxa"/>
            <w:tcBorders>
              <w:top w:val="single" w:sz="4" w:space="0" w:color="000000"/>
              <w:left w:val="single" w:sz="4" w:space="0" w:color="000000"/>
              <w:bottom w:val="single" w:sz="4" w:space="0" w:color="000000"/>
              <w:right w:val="single" w:sz="4" w:space="0" w:color="000000"/>
            </w:tcBorders>
            <w:vAlign w:val="center"/>
          </w:tcPr>
          <w:p w14:paraId="2FDF6F14" w14:textId="77777777" w:rsidR="00536AAA" w:rsidRPr="008D0CB1" w:rsidRDefault="00000000">
            <w:pPr>
              <w:spacing w:after="0"/>
              <w:jc w:val="center"/>
              <w:rPr>
                <w:b/>
                <w:bCs/>
                <w:sz w:val="24"/>
                <w:szCs w:val="24"/>
              </w:rPr>
            </w:pPr>
            <w:r w:rsidRPr="008D0CB1">
              <w:rPr>
                <w:b/>
                <w:bCs/>
                <w:sz w:val="24"/>
                <w:szCs w:val="24"/>
              </w:rPr>
              <w:t>Đang giải quyết</w:t>
            </w:r>
          </w:p>
        </w:tc>
        <w:tc>
          <w:tcPr>
            <w:tcW w:w="1605" w:type="dxa"/>
            <w:tcBorders>
              <w:top w:val="single" w:sz="4" w:space="0" w:color="000000"/>
              <w:left w:val="single" w:sz="4" w:space="0" w:color="000000"/>
              <w:bottom w:val="single" w:sz="4" w:space="0" w:color="000000"/>
              <w:right w:val="single" w:sz="4" w:space="0" w:color="000000"/>
            </w:tcBorders>
            <w:vAlign w:val="center"/>
          </w:tcPr>
          <w:p w14:paraId="29B51E9F" w14:textId="77777777" w:rsidR="00536AAA" w:rsidRPr="008D0CB1" w:rsidRDefault="00000000">
            <w:pPr>
              <w:spacing w:after="0"/>
              <w:jc w:val="center"/>
              <w:rPr>
                <w:b/>
                <w:bCs/>
                <w:sz w:val="24"/>
                <w:szCs w:val="24"/>
              </w:rPr>
            </w:pPr>
            <w:r w:rsidRPr="008D0CB1">
              <w:rPr>
                <w:b/>
                <w:bCs/>
                <w:sz w:val="24"/>
                <w:szCs w:val="24"/>
              </w:rPr>
              <w:t>Chưa giải quyết</w:t>
            </w:r>
          </w:p>
        </w:tc>
        <w:tc>
          <w:tcPr>
            <w:tcW w:w="1245" w:type="dxa"/>
            <w:vMerge/>
            <w:tcBorders>
              <w:top w:val="single" w:sz="4" w:space="0" w:color="000000"/>
              <w:left w:val="single" w:sz="4" w:space="0" w:color="000000"/>
              <w:right w:val="single" w:sz="4" w:space="0" w:color="000000"/>
            </w:tcBorders>
            <w:vAlign w:val="center"/>
          </w:tcPr>
          <w:p w14:paraId="246470C3" w14:textId="77777777" w:rsidR="00536AAA" w:rsidRPr="008D0CB1" w:rsidRDefault="00536AAA">
            <w:pPr>
              <w:widowControl w:val="0"/>
              <w:pBdr>
                <w:top w:val="nil"/>
                <w:left w:val="nil"/>
                <w:bottom w:val="nil"/>
                <w:right w:val="nil"/>
                <w:between w:val="nil"/>
              </w:pBdr>
              <w:spacing w:after="0" w:line="276" w:lineRule="auto"/>
              <w:rPr>
                <w:b/>
                <w:bCs/>
                <w:sz w:val="24"/>
                <w:szCs w:val="24"/>
              </w:rPr>
            </w:pPr>
          </w:p>
        </w:tc>
      </w:tr>
      <w:tr w:rsidR="008D0CB1" w:rsidRPr="008D0CB1" w14:paraId="1AE1B393" w14:textId="77777777">
        <w:tc>
          <w:tcPr>
            <w:tcW w:w="705" w:type="dxa"/>
            <w:tcBorders>
              <w:top w:val="single" w:sz="4" w:space="0" w:color="000000"/>
              <w:left w:val="single" w:sz="4" w:space="0" w:color="000000"/>
              <w:bottom w:val="single" w:sz="4" w:space="0" w:color="000000"/>
              <w:right w:val="single" w:sz="4" w:space="0" w:color="000000"/>
            </w:tcBorders>
          </w:tcPr>
          <w:p w14:paraId="7DC4CBA0" w14:textId="77777777" w:rsidR="00536AAA" w:rsidRPr="008D0CB1" w:rsidRDefault="00536AAA">
            <w:pPr>
              <w:numPr>
                <w:ilvl w:val="0"/>
                <w:numId w:val="1"/>
              </w:numPr>
              <w:pBdr>
                <w:top w:val="nil"/>
                <w:left w:val="nil"/>
                <w:bottom w:val="nil"/>
                <w:right w:val="nil"/>
                <w:between w:val="nil"/>
              </w:pBdr>
              <w:spacing w:after="0" w:line="259" w:lineRule="auto"/>
              <w:ind w:left="584" w:hanging="357"/>
              <w:jc w:val="center"/>
              <w:rPr>
                <w:rFonts w:ascii="Calibri" w:eastAsia="Calibri" w:hAnsi="Calibri" w:cs="Calibri"/>
                <w:b/>
                <w:bCs/>
                <w:sz w:val="24"/>
                <w:szCs w:val="24"/>
              </w:rPr>
            </w:pPr>
          </w:p>
        </w:tc>
        <w:tc>
          <w:tcPr>
            <w:tcW w:w="4125" w:type="dxa"/>
            <w:tcBorders>
              <w:top w:val="single" w:sz="4" w:space="0" w:color="000000"/>
              <w:left w:val="single" w:sz="4" w:space="0" w:color="000000"/>
              <w:bottom w:val="single" w:sz="4" w:space="0" w:color="000000"/>
              <w:right w:val="single" w:sz="4" w:space="0" w:color="000000"/>
            </w:tcBorders>
            <w:vAlign w:val="center"/>
          </w:tcPr>
          <w:p w14:paraId="01C4BF53" w14:textId="77777777" w:rsidR="00536AAA" w:rsidRPr="008D0CB1" w:rsidRDefault="00000000">
            <w:pPr>
              <w:spacing w:after="0"/>
              <w:jc w:val="both"/>
              <w:rPr>
                <w:b/>
                <w:bCs/>
                <w:sz w:val="24"/>
                <w:szCs w:val="24"/>
              </w:rPr>
            </w:pPr>
            <w:r w:rsidRPr="008D0CB1">
              <w:rPr>
                <w:b/>
                <w:bCs/>
                <w:sz w:val="24"/>
                <w:szCs w:val="24"/>
              </w:rPr>
              <w:t>Câu 46. Nhân dân Tổ 8 phường Phú Diễn đã sinh sống lâu dài trên thửa đất ở của mình (ô quy hoạch HH2, CT5, NT2) từ trước khi có Quy hoạch dự án Khu đô thị Thành phố Giao lưu. Tại 03 ô Quy hoạch này, Chủ đầu tư đã không triển khai dự án, để treo suốt hơn 20 năm qua dẫn đến đời sống người dân vô cùng khổ cực. Đề nghị Thành phố điều chỉnh tách 03 ô quy hoạch nêu trên ra khỏi dự án Khu đô thị Thành phố Giao lưu để Nhân dân được hưởng các quyền lợi hợp pháp.  (trước KH thứ 25)</w:t>
            </w:r>
          </w:p>
          <w:p w14:paraId="73EC92EA" w14:textId="77777777" w:rsidR="00536AAA" w:rsidRPr="008D0CB1" w:rsidRDefault="00536AAA">
            <w:pPr>
              <w:spacing w:after="0"/>
              <w:jc w:val="both"/>
              <w:rPr>
                <w:b/>
                <w:bCs/>
                <w:sz w:val="24"/>
                <w:szCs w:val="24"/>
              </w:rPr>
            </w:pPr>
          </w:p>
        </w:tc>
        <w:tc>
          <w:tcPr>
            <w:tcW w:w="5715" w:type="dxa"/>
            <w:tcBorders>
              <w:left w:val="single" w:sz="4" w:space="0" w:color="000000"/>
              <w:right w:val="single" w:sz="4" w:space="0" w:color="000000"/>
            </w:tcBorders>
          </w:tcPr>
          <w:p w14:paraId="55CD0AF4" w14:textId="77777777" w:rsidR="00536AAA" w:rsidRPr="008D0CB1" w:rsidRDefault="00000000">
            <w:pPr>
              <w:spacing w:after="0"/>
              <w:jc w:val="both"/>
              <w:rPr>
                <w:b/>
                <w:bCs/>
                <w:sz w:val="24"/>
                <w:szCs w:val="24"/>
              </w:rPr>
            </w:pPr>
            <w:r w:rsidRPr="008D0CB1">
              <w:rPr>
                <w:b/>
                <w:bCs/>
                <w:sz w:val="24"/>
                <w:szCs w:val="24"/>
              </w:rPr>
              <w:t>Trả lời:</w:t>
            </w:r>
          </w:p>
          <w:p w14:paraId="362A0B6E" w14:textId="77777777" w:rsidR="00536AAA" w:rsidRPr="008D0CB1" w:rsidRDefault="00000000">
            <w:pPr>
              <w:spacing w:after="0"/>
              <w:jc w:val="both"/>
              <w:rPr>
                <w:sz w:val="24"/>
                <w:szCs w:val="24"/>
              </w:rPr>
            </w:pPr>
            <w:r w:rsidRPr="008D0CB1">
              <w:rPr>
                <w:sz w:val="24"/>
                <w:szCs w:val="24"/>
              </w:rPr>
              <w:t>Các ô đất ký hiệu HH2, CT5, NT2 thuộc phường Phú Diễn nằm trong Quy hoạch chi tiết Khu đô thị Thành phố Giao lưu, tỷ lệ 1/500, đã được UBND Thành phố phê duyệt tại Quyết định số 154/2006/QĐ-UBND ngày 01/9/2006 và được điều chỉnh tại Quyết định số 2785/QĐ-UBND ngày 04/6/2025.</w:t>
            </w:r>
          </w:p>
          <w:p w14:paraId="06055E2B" w14:textId="77777777" w:rsidR="00536AAA" w:rsidRPr="008D0CB1" w:rsidRDefault="00000000">
            <w:pPr>
              <w:tabs>
                <w:tab w:val="left" w:pos="0"/>
                <w:tab w:val="left" w:pos="39"/>
                <w:tab w:val="left" w:pos="993"/>
              </w:tabs>
              <w:spacing w:after="0"/>
              <w:jc w:val="both"/>
              <w:rPr>
                <w:b/>
                <w:bCs/>
                <w:sz w:val="24"/>
                <w:szCs w:val="24"/>
              </w:rPr>
            </w:pPr>
            <w:r w:rsidRPr="008D0CB1">
              <w:rPr>
                <w:sz w:val="24"/>
                <w:szCs w:val="24"/>
              </w:rPr>
              <w:t>Hiện nay, UBND Thành phố đang chỉ đạo các sở, ngành và nhà đầu tư triển khai các thủ tục tiếp theo theo quy định, làm cơ sở sớm triển khai đầu tư xây dựng theo quy hoạch chi tiết đã được phê duyệt.</w:t>
            </w:r>
          </w:p>
        </w:tc>
        <w:tc>
          <w:tcPr>
            <w:tcW w:w="885" w:type="dxa"/>
            <w:tcBorders>
              <w:top w:val="single" w:sz="4" w:space="0" w:color="000000"/>
              <w:left w:val="single" w:sz="4" w:space="0" w:color="000000"/>
              <w:bottom w:val="single" w:sz="4" w:space="0" w:color="000000"/>
              <w:right w:val="single" w:sz="4" w:space="0" w:color="000000"/>
            </w:tcBorders>
          </w:tcPr>
          <w:p w14:paraId="16FA5DFB" w14:textId="77777777" w:rsidR="00536AAA" w:rsidRPr="008D0CB1" w:rsidRDefault="00000000">
            <w:pPr>
              <w:spacing w:after="0"/>
              <w:jc w:val="both"/>
              <w:rPr>
                <w:sz w:val="24"/>
                <w:szCs w:val="24"/>
              </w:rPr>
            </w:pPr>
            <w:r w:rsidRPr="008D0CB1">
              <w:rPr>
                <w:sz w:val="24"/>
                <w:szCs w:val="24"/>
              </w:rPr>
              <w:t>b</w:t>
            </w:r>
          </w:p>
        </w:tc>
        <w:tc>
          <w:tcPr>
            <w:tcW w:w="900" w:type="dxa"/>
            <w:tcBorders>
              <w:top w:val="single" w:sz="4" w:space="0" w:color="000000"/>
              <w:left w:val="single" w:sz="4" w:space="0" w:color="000000"/>
              <w:bottom w:val="single" w:sz="4" w:space="0" w:color="000000"/>
              <w:right w:val="single" w:sz="4" w:space="0" w:color="000000"/>
            </w:tcBorders>
          </w:tcPr>
          <w:p w14:paraId="1DF42F2B" w14:textId="77777777" w:rsidR="00536AAA" w:rsidRPr="008D0CB1" w:rsidRDefault="00536AAA">
            <w:pPr>
              <w:spacing w:after="0"/>
              <w:jc w:val="center"/>
              <w:rPr>
                <w:b/>
                <w:bCs/>
                <w:sz w:val="24"/>
                <w:szCs w:val="24"/>
              </w:rPr>
            </w:pPr>
          </w:p>
        </w:tc>
        <w:tc>
          <w:tcPr>
            <w:tcW w:w="1605" w:type="dxa"/>
            <w:tcBorders>
              <w:top w:val="single" w:sz="4" w:space="0" w:color="000000"/>
              <w:left w:val="single" w:sz="4" w:space="0" w:color="000000"/>
              <w:bottom w:val="single" w:sz="4" w:space="0" w:color="000000"/>
              <w:right w:val="single" w:sz="4" w:space="0" w:color="000000"/>
            </w:tcBorders>
          </w:tcPr>
          <w:p w14:paraId="3BC234F3" w14:textId="77777777" w:rsidR="00536AAA" w:rsidRPr="008D0CB1" w:rsidRDefault="00000000">
            <w:pPr>
              <w:spacing w:after="0"/>
              <w:jc w:val="both"/>
              <w:rPr>
                <w:sz w:val="24"/>
                <w:szCs w:val="24"/>
              </w:rPr>
            </w:pPr>
            <w:r w:rsidRPr="008D0CB1">
              <w:rPr>
                <w:b/>
                <w:bCs/>
                <w:sz w:val="24"/>
                <w:szCs w:val="24"/>
              </w:rPr>
              <w:t>Sở Quy hoạch - Kiến trúc chủ trì;</w:t>
            </w:r>
            <w:r w:rsidRPr="008D0CB1">
              <w:rPr>
                <w:sz w:val="24"/>
                <w:szCs w:val="24"/>
              </w:rPr>
              <w:t xml:space="preserve"> </w:t>
            </w:r>
          </w:p>
          <w:p w14:paraId="24762E30" w14:textId="77777777" w:rsidR="00536AAA" w:rsidRPr="008D0CB1" w:rsidRDefault="00000000">
            <w:pPr>
              <w:tabs>
                <w:tab w:val="left" w:pos="0"/>
                <w:tab w:val="left" w:pos="993"/>
              </w:tabs>
              <w:spacing w:after="0"/>
              <w:ind w:firstLine="4"/>
              <w:jc w:val="both"/>
              <w:rPr>
                <w:b/>
                <w:bCs/>
                <w:sz w:val="24"/>
                <w:szCs w:val="24"/>
              </w:rPr>
            </w:pPr>
            <w:r w:rsidRPr="008D0CB1">
              <w:rPr>
                <w:b/>
                <w:bCs/>
                <w:sz w:val="24"/>
                <w:szCs w:val="24"/>
              </w:rPr>
              <w:t>Sở Tài chính, UBND phường (Tây Tựu/ Phú Diễn/ Xuân Đỉnh/ Đông Ngạc/ Thượng Cát quản lý địa bàn) phối hợp.</w:t>
            </w:r>
          </w:p>
        </w:tc>
        <w:tc>
          <w:tcPr>
            <w:tcW w:w="1245" w:type="dxa"/>
            <w:tcBorders>
              <w:top w:val="single" w:sz="4" w:space="0" w:color="000000"/>
              <w:left w:val="single" w:sz="4" w:space="0" w:color="000000"/>
              <w:bottom w:val="single" w:sz="4" w:space="0" w:color="000000"/>
              <w:right w:val="single" w:sz="4" w:space="0" w:color="000000"/>
            </w:tcBorders>
          </w:tcPr>
          <w:p w14:paraId="64D6AE18" w14:textId="77777777" w:rsidR="00536AAA" w:rsidRPr="008D0CB1" w:rsidRDefault="00536AAA">
            <w:pPr>
              <w:shd w:val="clear" w:color="auto" w:fill="FFFFFF"/>
              <w:spacing w:before="48" w:after="48"/>
              <w:jc w:val="both"/>
              <w:rPr>
                <w:b/>
                <w:bCs/>
                <w:sz w:val="24"/>
                <w:szCs w:val="24"/>
              </w:rPr>
            </w:pPr>
          </w:p>
        </w:tc>
      </w:tr>
      <w:tr w:rsidR="008D0CB1" w:rsidRPr="008D0CB1" w14:paraId="56C168EE" w14:textId="77777777">
        <w:tc>
          <w:tcPr>
            <w:tcW w:w="705" w:type="dxa"/>
            <w:tcBorders>
              <w:top w:val="single" w:sz="4" w:space="0" w:color="000000"/>
              <w:left w:val="single" w:sz="4" w:space="0" w:color="000000"/>
              <w:bottom w:val="single" w:sz="4" w:space="0" w:color="000000"/>
              <w:right w:val="single" w:sz="4" w:space="0" w:color="000000"/>
            </w:tcBorders>
          </w:tcPr>
          <w:p w14:paraId="5FB2D49C" w14:textId="77777777" w:rsidR="00536AAA" w:rsidRPr="008D0CB1" w:rsidRDefault="00536AAA">
            <w:pPr>
              <w:numPr>
                <w:ilvl w:val="0"/>
                <w:numId w:val="1"/>
              </w:numPr>
              <w:pBdr>
                <w:top w:val="nil"/>
                <w:left w:val="nil"/>
                <w:bottom w:val="nil"/>
                <w:right w:val="nil"/>
                <w:between w:val="nil"/>
              </w:pBdr>
              <w:spacing w:after="0" w:line="259" w:lineRule="auto"/>
              <w:ind w:left="584" w:hanging="357"/>
              <w:jc w:val="center"/>
              <w:rPr>
                <w:rFonts w:ascii="Calibri" w:eastAsia="Calibri" w:hAnsi="Calibri" w:cs="Calibri"/>
                <w:b/>
                <w:bCs/>
                <w:sz w:val="24"/>
                <w:szCs w:val="24"/>
              </w:rPr>
            </w:pPr>
          </w:p>
        </w:tc>
        <w:tc>
          <w:tcPr>
            <w:tcW w:w="4125" w:type="dxa"/>
            <w:tcBorders>
              <w:top w:val="single" w:sz="4" w:space="0" w:color="000000"/>
              <w:left w:val="single" w:sz="4" w:space="0" w:color="000000"/>
              <w:bottom w:val="single" w:sz="4" w:space="0" w:color="000000"/>
              <w:right w:val="single" w:sz="4" w:space="0" w:color="000000"/>
            </w:tcBorders>
          </w:tcPr>
          <w:p w14:paraId="6A934614" w14:textId="77777777" w:rsidR="00536AAA" w:rsidRPr="008D0CB1" w:rsidRDefault="00000000">
            <w:pPr>
              <w:spacing w:after="0"/>
              <w:jc w:val="both"/>
              <w:rPr>
                <w:b/>
                <w:bCs/>
                <w:sz w:val="24"/>
                <w:szCs w:val="24"/>
              </w:rPr>
            </w:pPr>
            <w:r w:rsidRPr="008D0CB1">
              <w:rPr>
                <w:b/>
                <w:bCs/>
                <w:sz w:val="24"/>
                <w:szCs w:val="24"/>
              </w:rPr>
              <w:t xml:space="preserve">Câu 73. Đề nghị UBND Thành phố chỉ đạo yêu cầu các Chủ đầu tư dự án đẩy nhanh tiến độ thực hiện các dự án trường học đang thực hiện tại các ô đất C1-MN7; C2-TH1; C2-THCS1; C2-MN4;..(Quy hoạch phân khu đô thị H2-1) sớm đưa vào hoạt động phục vụ Nhân dân trên địa bàn Phường (cử tri </w:t>
            </w:r>
            <w:r w:rsidRPr="008D0CB1">
              <w:rPr>
                <w:b/>
                <w:bCs/>
                <w:sz w:val="24"/>
                <w:szCs w:val="24"/>
              </w:rPr>
              <w:lastRenderedPageBreak/>
              <w:t>phường Xuân Đỉnh). (sau kỳ họp thứ 25)</w:t>
            </w:r>
          </w:p>
        </w:tc>
        <w:tc>
          <w:tcPr>
            <w:tcW w:w="5715" w:type="dxa"/>
            <w:tcBorders>
              <w:left w:val="single" w:sz="4" w:space="0" w:color="000000"/>
              <w:right w:val="single" w:sz="4" w:space="0" w:color="000000"/>
            </w:tcBorders>
          </w:tcPr>
          <w:p w14:paraId="2EF44C33" w14:textId="77777777" w:rsidR="00536AAA" w:rsidRPr="008D0CB1" w:rsidRDefault="00000000">
            <w:pPr>
              <w:spacing w:after="0" w:line="276" w:lineRule="auto"/>
              <w:jc w:val="both"/>
              <w:rPr>
                <w:b/>
                <w:bCs/>
                <w:sz w:val="24"/>
                <w:szCs w:val="24"/>
              </w:rPr>
            </w:pPr>
            <w:r w:rsidRPr="008D0CB1">
              <w:rPr>
                <w:b/>
                <w:bCs/>
                <w:sz w:val="24"/>
                <w:szCs w:val="24"/>
              </w:rPr>
              <w:lastRenderedPageBreak/>
              <w:t>Trả lời:</w:t>
            </w:r>
          </w:p>
          <w:p w14:paraId="6D1C1FAF" w14:textId="77777777" w:rsidR="00536AAA" w:rsidRPr="008D0CB1" w:rsidRDefault="00000000">
            <w:pPr>
              <w:spacing w:after="0" w:line="276" w:lineRule="auto"/>
              <w:jc w:val="both"/>
              <w:rPr>
                <w:sz w:val="24"/>
                <w:szCs w:val="24"/>
              </w:rPr>
            </w:pPr>
            <w:r w:rsidRPr="008D0CB1">
              <w:rPr>
                <w:sz w:val="24"/>
                <w:szCs w:val="24"/>
              </w:rPr>
              <w:t xml:space="preserve">UBND Thành phố đã rà soát nội dung kiến nghị; trên cơ sở đó, - Ô đất C2-MN4 thuộc dự án đầu tư xây dựng trường mầm non Xuân Đỉnh tại khu đô thị Tây Hồ Tây, phường Xuân Đỉnh, Thành phố Hà Nội được UBND TP chấp thuận chủ trương đầu tư xây dựng tại QĐ số 3288/QĐ- UBND ngày 20/6/2023, do Công ty cổ phần </w:t>
            </w:r>
            <w:r w:rsidRPr="008D0CB1">
              <w:rPr>
                <w:sz w:val="24"/>
                <w:szCs w:val="24"/>
              </w:rPr>
              <w:lastRenderedPageBreak/>
              <w:t>đào tạo Tây Đô là chủ đầu tư thực hiện dự án. Công ty triển khai thi công xây dựng theo đúng bản vẽ chấp thuận điều chỉnh quy hoạch Tổng mặt bằng, tỷ lệ 1/500, phương án kiến trúc được UBND quận Bắc Từ Liêm phê duyệt tại văn bản số 2932/UBND-QLĐT ngày 28/8/2024 và Giấy phép xây dựng số 2047/GPXD ngày 29/11/2024. Trường Mầm non Xuân Đỉnh đã xây xong các hạng mục công trình theo đúng Giấy phép xây dựng được duyệt, đang hoàn thiện.</w:t>
            </w:r>
          </w:p>
          <w:p w14:paraId="6AF870A3" w14:textId="77777777" w:rsidR="00536AAA" w:rsidRPr="008D0CB1" w:rsidRDefault="00000000">
            <w:pPr>
              <w:tabs>
                <w:tab w:val="left" w:pos="0"/>
                <w:tab w:val="left" w:pos="39"/>
                <w:tab w:val="left" w:pos="993"/>
              </w:tabs>
              <w:spacing w:after="0"/>
              <w:jc w:val="both"/>
              <w:rPr>
                <w:b/>
                <w:bCs/>
                <w:sz w:val="24"/>
                <w:szCs w:val="24"/>
              </w:rPr>
            </w:pPr>
            <w:r w:rsidRPr="008D0CB1">
              <w:rPr>
                <w:sz w:val="24"/>
                <w:szCs w:val="24"/>
              </w:rPr>
              <w:t>- Các ô đất C1-MN7; C2-TH1; C2-THCS1 thuộc dự án Khu Đoàn ngoại giao theo Quyết định số 415/QĐ-TTg ngày 11/4/2001 của Thủ tướng Chính phủ và các quyết định giao đất số 5491/QĐ-UBND ngày 11/12/2006 và Quyết định điều chỉnh số 4417/QĐ-UBND ngày 23/07/2013 của UBND TP. Hà Nội, do Tổng Công ty Xây dựng Hà Nội (nay là Tổng Công ty Xây dựng Hà Nội – CTCP) là nhà đầu tư. Dự án nhà trẻ đã xây xong đang hoàn thiện để đưa vào sử dụng. Các trường tiểu học TH1 và trường tiểu học TH2, trường THCS đã xây 4/5 tầng, dự kiến hoàn thành vào quý III/2026.</w:t>
            </w:r>
          </w:p>
        </w:tc>
        <w:tc>
          <w:tcPr>
            <w:tcW w:w="885" w:type="dxa"/>
            <w:tcBorders>
              <w:top w:val="single" w:sz="4" w:space="0" w:color="000000"/>
              <w:left w:val="single" w:sz="4" w:space="0" w:color="000000"/>
              <w:bottom w:val="single" w:sz="4" w:space="0" w:color="000000"/>
              <w:right w:val="single" w:sz="4" w:space="0" w:color="000000"/>
            </w:tcBorders>
          </w:tcPr>
          <w:p w14:paraId="580604FD" w14:textId="77777777" w:rsidR="00536AAA" w:rsidRPr="008D0CB1" w:rsidRDefault="00536AAA">
            <w:pPr>
              <w:spacing w:after="0"/>
              <w:jc w:val="both"/>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79FA4DC6" w14:textId="77777777" w:rsidR="00536AAA" w:rsidRPr="008D0CB1" w:rsidRDefault="00000000">
            <w:pPr>
              <w:spacing w:after="0"/>
              <w:jc w:val="center"/>
              <w:rPr>
                <w:b/>
                <w:bCs/>
                <w:sz w:val="24"/>
                <w:szCs w:val="24"/>
              </w:rPr>
            </w:pPr>
            <w:r w:rsidRPr="008D0CB1">
              <w:rPr>
                <w:sz w:val="24"/>
                <w:szCs w:val="24"/>
              </w:rPr>
              <w:t>Đang giải quyết (Trong năm 2026)</w:t>
            </w:r>
          </w:p>
        </w:tc>
        <w:tc>
          <w:tcPr>
            <w:tcW w:w="1605" w:type="dxa"/>
            <w:tcBorders>
              <w:top w:val="single" w:sz="4" w:space="0" w:color="000000"/>
              <w:left w:val="single" w:sz="4" w:space="0" w:color="000000"/>
              <w:bottom w:val="single" w:sz="4" w:space="0" w:color="000000"/>
              <w:right w:val="single" w:sz="4" w:space="0" w:color="000000"/>
            </w:tcBorders>
          </w:tcPr>
          <w:p w14:paraId="1286AC67" w14:textId="77777777" w:rsidR="00536AAA" w:rsidRPr="008D0CB1" w:rsidRDefault="00000000">
            <w:pPr>
              <w:spacing w:before="48" w:after="48"/>
              <w:jc w:val="center"/>
              <w:rPr>
                <w:sz w:val="24"/>
                <w:szCs w:val="24"/>
              </w:rPr>
            </w:pPr>
            <w:r w:rsidRPr="008D0CB1">
              <w:rPr>
                <w:b/>
                <w:bCs/>
                <w:sz w:val="24"/>
                <w:szCs w:val="24"/>
              </w:rPr>
              <w:t>Sở Tài chính</w:t>
            </w:r>
            <w:r w:rsidRPr="008D0CB1">
              <w:rPr>
                <w:sz w:val="24"/>
                <w:szCs w:val="24"/>
              </w:rPr>
              <w:t>;</w:t>
            </w:r>
          </w:p>
          <w:p w14:paraId="5390AE7A" w14:textId="77777777" w:rsidR="00536AAA" w:rsidRPr="008D0CB1" w:rsidRDefault="00000000">
            <w:pPr>
              <w:tabs>
                <w:tab w:val="left" w:pos="0"/>
                <w:tab w:val="left" w:pos="993"/>
              </w:tabs>
              <w:spacing w:after="0"/>
              <w:ind w:firstLine="4"/>
              <w:jc w:val="both"/>
              <w:rPr>
                <w:b/>
                <w:bCs/>
                <w:sz w:val="24"/>
                <w:szCs w:val="24"/>
              </w:rPr>
            </w:pPr>
            <w:r w:rsidRPr="008D0CB1">
              <w:rPr>
                <w:b/>
                <w:bCs/>
                <w:sz w:val="24"/>
                <w:szCs w:val="24"/>
              </w:rPr>
              <w:t>UBND phường Xuân Đỉnh</w:t>
            </w:r>
          </w:p>
        </w:tc>
        <w:tc>
          <w:tcPr>
            <w:tcW w:w="1245" w:type="dxa"/>
            <w:tcBorders>
              <w:top w:val="single" w:sz="4" w:space="0" w:color="000000"/>
              <w:left w:val="single" w:sz="4" w:space="0" w:color="000000"/>
              <w:bottom w:val="single" w:sz="4" w:space="0" w:color="000000"/>
              <w:right w:val="single" w:sz="4" w:space="0" w:color="000000"/>
            </w:tcBorders>
          </w:tcPr>
          <w:p w14:paraId="70826DF6" w14:textId="77777777" w:rsidR="00536AAA" w:rsidRPr="008D0CB1" w:rsidRDefault="00536AAA">
            <w:pPr>
              <w:shd w:val="clear" w:color="auto" w:fill="FFFFFF"/>
              <w:spacing w:before="48" w:after="48"/>
              <w:jc w:val="both"/>
              <w:rPr>
                <w:b/>
                <w:bCs/>
                <w:sz w:val="24"/>
                <w:szCs w:val="24"/>
              </w:rPr>
            </w:pPr>
          </w:p>
        </w:tc>
      </w:tr>
    </w:tbl>
    <w:p w14:paraId="54E36852" w14:textId="77777777" w:rsidR="00536AAA" w:rsidRPr="008D0CB1" w:rsidRDefault="00000000">
      <w:pPr>
        <w:pBdr>
          <w:top w:val="nil"/>
          <w:left w:val="nil"/>
          <w:bottom w:val="nil"/>
          <w:right w:val="nil"/>
          <w:between w:val="nil"/>
        </w:pBdr>
        <w:tabs>
          <w:tab w:val="center" w:pos="4680"/>
          <w:tab w:val="right" w:pos="9360"/>
        </w:tabs>
        <w:spacing w:after="0" w:line="240" w:lineRule="auto"/>
        <w:ind w:left="-284" w:right="-426"/>
        <w:jc w:val="both"/>
        <w:rPr>
          <w:rFonts w:ascii="Times New Roman" w:eastAsia="Times New Roman" w:hAnsi="Times New Roman" w:cs="Times New Roman"/>
          <w:i/>
          <w:iCs/>
          <w:sz w:val="24"/>
          <w:szCs w:val="24"/>
        </w:rPr>
      </w:pPr>
      <w:r w:rsidRPr="008D0CB1">
        <w:rPr>
          <w:rFonts w:ascii="Times New Roman" w:eastAsia="Times New Roman" w:hAnsi="Times New Roman" w:cs="Times New Roman"/>
          <w:b/>
          <w:bCs/>
          <w:i/>
          <w:iCs/>
          <w:sz w:val="24"/>
          <w:szCs w:val="24"/>
        </w:rPr>
        <w:t xml:space="preserve"> (*)</w:t>
      </w:r>
      <w:r w:rsidRPr="008D0CB1">
        <w:rPr>
          <w:rFonts w:ascii="Times New Roman" w:eastAsia="Times New Roman" w:hAnsi="Times New Roman" w:cs="Times New Roman"/>
          <w:i/>
          <w:iCs/>
          <w:sz w:val="24"/>
          <w:szCs w:val="24"/>
        </w:rPr>
        <w:t xml:space="preserve"> a. Kiến nghị không thuộc thẩm quyền của Thành phố (thẩm quyền và trách nhiệm giải quyết thuộc cấp Trung ương hoặc cấp huyện/xã); b. Kiến nghị đã có văn bản giải quyết của cơ quan có thẩm quyền (các ngành đã có văn bản hướng dẫn); c. Kiến nghị liên quan đến nguồn lực nhưng chưa được bố trí trong giai đoạn 2021-2025 hoặc không có cơ sở pháp lý và thực tiễn để giải quyết.</w:t>
      </w:r>
    </w:p>
    <w:p w14:paraId="33260747" w14:textId="77777777" w:rsidR="00536AAA" w:rsidRPr="008D0CB1" w:rsidRDefault="00536AAA">
      <w:pPr>
        <w:spacing w:after="0" w:line="360" w:lineRule="auto"/>
        <w:ind w:left="-284"/>
        <w:jc w:val="both"/>
        <w:rPr>
          <w:rFonts w:ascii="Times New Roman" w:eastAsia="Times New Roman" w:hAnsi="Times New Roman" w:cs="Times New Roman"/>
          <w:sz w:val="24"/>
          <w:szCs w:val="24"/>
        </w:rPr>
      </w:pPr>
    </w:p>
    <w:sectPr w:rsidR="00536AAA" w:rsidRPr="008D0CB1">
      <w:headerReference w:type="default" r:id="rId9"/>
      <w:footerReference w:type="default" r:id="rId10"/>
      <w:footerReference w:type="first" r:id="rId11"/>
      <w:pgSz w:w="16839" w:h="11907" w:orient="landscape"/>
      <w:pgMar w:top="567" w:right="680" w:bottom="567" w:left="1134" w:header="51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7CFDD" w14:textId="77777777" w:rsidR="00CC74B5" w:rsidRDefault="00CC74B5">
      <w:pPr>
        <w:spacing w:after="0" w:line="240" w:lineRule="auto"/>
      </w:pPr>
      <w:r>
        <w:separator/>
      </w:r>
    </w:p>
  </w:endnote>
  <w:endnote w:type="continuationSeparator" w:id="0">
    <w:p w14:paraId="70D9EE96" w14:textId="77777777" w:rsidR="00CC74B5" w:rsidRDefault="00CC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9293A0F-AAD4-4ACF-B97B-41B86FA35A2B}"/>
    <w:embedBold r:id="rId2" w:fontKey="{96AD1981-D70D-4341-886D-A4276D5CDB9F}"/>
    <w:embedBoldItalic r:id="rId3" w:fontKey="{B4284ADB-5537-4B59-B1DF-8BE03E94642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62BCF56-E730-472E-BD24-E449D73401B8}"/>
    <w:embedBold r:id="rId5" w:fontKey="{35B17AE9-955A-4E2E-9FC4-BFCD86F55A03}"/>
    <w:embedBoldItalic r:id="rId6" w:fontKey="{483E6139-7206-44CB-A8E0-B8AAB78EB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8800" w14:textId="77777777" w:rsidR="00536AAA" w:rsidRDefault="00536AA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3F26" w14:textId="77777777" w:rsidR="00536AAA" w:rsidRDefault="00000000">
    <w:pPr>
      <w:pBdr>
        <w:top w:val="nil"/>
        <w:left w:val="nil"/>
        <w:bottom w:val="nil"/>
        <w:right w:val="nil"/>
        <w:between w:val="nil"/>
      </w:pBdr>
      <w:tabs>
        <w:tab w:val="center" w:pos="4680"/>
        <w:tab w:val="right" w:pos="9360"/>
      </w:tabs>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a. Kiến nghị không thuộc thẩm quyền của Thành phố (thẩm quyền và trách nhiệm giải quyết thuộc cấp Trung ương hoặc cấp huyện/xã); b. Kiến nghị đã có văn bản giải quyết của cơ quan có thẩm quyền (các ngành đã có văn bản hướng dẫn); c. Kiến nghị liên quan đến nguồn lực nhưng chưa được bố trí trong giai đoạn 2021-2025 hoặc không có cơ sở pháp lý và thực tiễn để giải quyết.</w:t>
    </w:r>
  </w:p>
  <w:p w14:paraId="1FB5613C" w14:textId="77777777" w:rsidR="00536AAA" w:rsidRDefault="00536AA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B65B0" w14:textId="77777777" w:rsidR="00CC74B5" w:rsidRDefault="00CC74B5">
      <w:pPr>
        <w:spacing w:after="0" w:line="240" w:lineRule="auto"/>
      </w:pPr>
      <w:r>
        <w:separator/>
      </w:r>
    </w:p>
  </w:footnote>
  <w:footnote w:type="continuationSeparator" w:id="0">
    <w:p w14:paraId="674D1F20" w14:textId="77777777" w:rsidR="00CC74B5" w:rsidRDefault="00CC7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001E" w14:textId="77777777" w:rsidR="00536AAA"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D0CB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3A1372F7" w14:textId="77777777" w:rsidR="00536AAA" w:rsidRDefault="00536AA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20947"/>
    <w:multiLevelType w:val="multilevel"/>
    <w:tmpl w:val="A5E838D6"/>
    <w:lvl w:ilvl="0">
      <w:start w:val="1"/>
      <w:numFmt w:val="decimal"/>
      <w:lvlText w:val="%1"/>
      <w:lvlJc w:val="left"/>
      <w:pPr>
        <w:ind w:left="702" w:hanging="360"/>
      </w:pPr>
    </w:lvl>
    <w:lvl w:ilvl="1">
      <w:start w:val="1"/>
      <w:numFmt w:val="lowerLetter"/>
      <w:lvlText w:val="%2."/>
      <w:lvlJc w:val="left"/>
      <w:pPr>
        <w:ind w:left="1422" w:hanging="360"/>
      </w:pPr>
    </w:lvl>
    <w:lvl w:ilvl="2">
      <w:start w:val="1"/>
      <w:numFmt w:val="lowerRoman"/>
      <w:lvlText w:val="%3."/>
      <w:lvlJc w:val="right"/>
      <w:pPr>
        <w:ind w:left="2142" w:hanging="180"/>
      </w:pPr>
    </w:lvl>
    <w:lvl w:ilvl="3">
      <w:start w:val="1"/>
      <w:numFmt w:val="decimal"/>
      <w:lvlText w:val="%4."/>
      <w:lvlJc w:val="left"/>
      <w:pPr>
        <w:ind w:left="2862" w:hanging="360"/>
      </w:pPr>
    </w:lvl>
    <w:lvl w:ilvl="4">
      <w:start w:val="1"/>
      <w:numFmt w:val="lowerLetter"/>
      <w:lvlText w:val="%5."/>
      <w:lvlJc w:val="left"/>
      <w:pPr>
        <w:ind w:left="3582" w:hanging="360"/>
      </w:pPr>
    </w:lvl>
    <w:lvl w:ilvl="5">
      <w:start w:val="1"/>
      <w:numFmt w:val="lowerRoman"/>
      <w:lvlText w:val="%6."/>
      <w:lvlJc w:val="right"/>
      <w:pPr>
        <w:ind w:left="4302" w:hanging="180"/>
      </w:pPr>
    </w:lvl>
    <w:lvl w:ilvl="6">
      <w:start w:val="1"/>
      <w:numFmt w:val="decimal"/>
      <w:lvlText w:val="%7."/>
      <w:lvlJc w:val="left"/>
      <w:pPr>
        <w:ind w:left="5022" w:hanging="360"/>
      </w:pPr>
    </w:lvl>
    <w:lvl w:ilvl="7">
      <w:start w:val="1"/>
      <w:numFmt w:val="lowerLetter"/>
      <w:lvlText w:val="%8."/>
      <w:lvlJc w:val="left"/>
      <w:pPr>
        <w:ind w:left="5742" w:hanging="360"/>
      </w:pPr>
    </w:lvl>
    <w:lvl w:ilvl="8">
      <w:start w:val="1"/>
      <w:numFmt w:val="lowerRoman"/>
      <w:lvlText w:val="%9."/>
      <w:lvlJc w:val="right"/>
      <w:pPr>
        <w:ind w:left="6462" w:hanging="180"/>
      </w:pPr>
    </w:lvl>
  </w:abstractNum>
  <w:num w:numId="1" w16cid:durableId="2114931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AAA"/>
    <w:rsid w:val="00536AAA"/>
    <w:rsid w:val="00706187"/>
    <w:rsid w:val="008D0CB1"/>
    <w:rsid w:val="00CC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6F5A"/>
  <w15:docId w15:val="{161E3EE6-2DD6-44EA-895F-B530B722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ind w:firstLine="72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spacing w:before="240" w:after="60" w:line="240" w:lineRule="auto"/>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ind w:firstLine="720"/>
      <w:jc w:val="both"/>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ind w:firstLine="720"/>
      <w:jc w:val="both"/>
      <w:outlineLvl w:val="3"/>
    </w:pPr>
    <w:rPr>
      <w:b/>
      <w:bCs/>
      <w:sz w:val="28"/>
      <w:szCs w:val="28"/>
    </w:rPr>
  </w:style>
  <w:style w:type="paragraph" w:styleId="Heading5">
    <w:name w:val="heading 5"/>
    <w:basedOn w:val="Normal"/>
    <w:next w:val="Normal"/>
    <w:uiPriority w:val="9"/>
    <w:semiHidden/>
    <w:unhideWhenUsed/>
    <w:qFormat/>
    <w:pPr>
      <w:spacing w:before="240" w:after="60"/>
      <w:ind w:firstLine="720"/>
      <w:jc w:val="both"/>
      <w:outlineLvl w:val="4"/>
    </w:pPr>
    <w:rPr>
      <w:b/>
      <w:bCs/>
      <w:i/>
      <w:iCs/>
      <w:sz w:val="26"/>
      <w:szCs w:val="26"/>
    </w:rPr>
  </w:style>
  <w:style w:type="paragraph" w:styleId="Heading6">
    <w:name w:val="heading 6"/>
    <w:basedOn w:val="Normal"/>
    <w:next w:val="Normal"/>
    <w:uiPriority w:val="9"/>
    <w:semiHidden/>
    <w:unhideWhenUsed/>
    <w:qFormat/>
    <w:pPr>
      <w:spacing w:before="240" w:after="60"/>
      <w:ind w:firstLine="720"/>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line="240" w:lineRule="auto"/>
      <w:jc w:val="center"/>
    </w:pPr>
    <w:rPr>
      <w:b/>
      <w:bCs/>
      <w:sz w:val="32"/>
      <w:szCs w:val="32"/>
    </w:rPr>
  </w:style>
  <w:style w:type="paragraph" w:styleId="Subtitle">
    <w:name w:val="Subtitle"/>
    <w:basedOn w:val="Normal"/>
    <w:next w:val="Normal"/>
    <w:uiPriority w:val="11"/>
    <w:qFormat/>
    <w:pPr>
      <w:tabs>
        <w:tab w:val="left" w:pos="5880"/>
      </w:tabs>
      <w:spacing w:before="40" w:after="40" w:line="240" w:lineRule="auto"/>
      <w:jc w:val="center"/>
    </w:pPr>
    <w:rPr>
      <w:rFonts w:ascii="Times New Roman" w:eastAsia="Times New Roman" w:hAnsi="Times New Roman" w:cs="Times New Roman"/>
      <w:b/>
      <w:bCs/>
      <w:sz w:val="26"/>
      <w:szCs w:val="26"/>
    </w:rPr>
  </w:style>
  <w:style w:type="table" w:customStyle="1" w:styleId="a">
    <w:basedOn w:val="TableNormal0"/>
    <w:pPr>
      <w:spacing w:after="120" w:line="240" w:lineRule="auto"/>
    </w:pPr>
    <w:rPr>
      <w:rFonts w:ascii="Times New Roman" w:eastAsia="Times New Roman" w:hAnsi="Times New Roman" w:cs="Times New Roman"/>
      <w:sz w:val="28"/>
      <w:szCs w:val="28"/>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Db4HTOimcAC80l4jNl943IYrA==">CgMxLjA4AHIhMXhJVS1CVjZnMlJpTUtaYzFvQUVFcmt0RXk3WElSMkJE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524</Words>
  <Characters>2993</Characters>
  <Application>Microsoft Office Word</Application>
  <DocSecurity>0</DocSecurity>
  <Lines>24</Lines>
  <Paragraphs>7</Paragraphs>
  <ScaleCrop>false</ScaleCrop>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2026-06-18T11:26:00Z</dcterms:created>
  <dcterms:modified xsi:type="dcterms:W3CDTF">2026-06-18T11:28:00Z</dcterms:modified>
</cp:coreProperties>
</file>