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108" w:type="dxa"/>
        <w:tblLook w:val="04A0" w:firstRow="1" w:lastRow="0" w:firstColumn="1" w:lastColumn="0" w:noHBand="0" w:noVBand="1"/>
      </w:tblPr>
      <w:tblGrid>
        <w:gridCol w:w="9781"/>
      </w:tblGrid>
      <w:tr w:rsidR="004173CD" w:rsidRPr="00DD029B" w:rsidTr="00034A4C">
        <w:tc>
          <w:tcPr>
            <w:tcW w:w="9781" w:type="dxa"/>
            <w:shd w:val="clear" w:color="auto" w:fill="auto"/>
          </w:tcPr>
          <w:p w:rsidR="004173CD" w:rsidRPr="00DD029B" w:rsidRDefault="004173CD" w:rsidP="00034A4C">
            <w:pPr>
              <w:rPr>
                <w:b/>
              </w:rPr>
            </w:pPr>
            <w:r w:rsidRPr="00DD029B">
              <w:t>UBND XÃ DÂN HOÀ</w:t>
            </w:r>
          </w:p>
        </w:tc>
      </w:tr>
      <w:tr w:rsidR="004173CD" w:rsidRPr="00DD029B" w:rsidTr="00034A4C">
        <w:tc>
          <w:tcPr>
            <w:tcW w:w="9781" w:type="dxa"/>
            <w:shd w:val="clear" w:color="auto" w:fill="auto"/>
          </w:tcPr>
          <w:p w:rsidR="004173CD" w:rsidRPr="00DD029B" w:rsidRDefault="004173CD" w:rsidP="00034A4C">
            <w:pPr>
              <w:rPr>
                <w:b/>
              </w:rPr>
            </w:pPr>
            <w:r>
              <w:rPr>
                <w:b/>
                <w:noProof/>
              </w:rPr>
              <mc:AlternateContent>
                <mc:Choice Requires="wps">
                  <w:drawing>
                    <wp:anchor distT="0" distB="0" distL="114300" distR="114300" simplePos="0" relativeHeight="251659264" behindDoc="0" locked="0" layoutInCell="1" allowOverlap="1" wp14:anchorId="3AD3DDE5" wp14:editId="6CF47454">
                      <wp:simplePos x="0" y="0"/>
                      <wp:positionH relativeFrom="column">
                        <wp:posOffset>274011</wp:posOffset>
                      </wp:positionH>
                      <wp:positionV relativeFrom="paragraph">
                        <wp:posOffset>187548</wp:posOffset>
                      </wp:positionV>
                      <wp:extent cx="82378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378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1EE4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6pt,14.75pt" to="86.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" strokecolor="#4472c4 [3204]" strokeweight=".5pt">
                      <v:stroke joinstyle="miter"/>
                    </v:line>
                  </w:pict>
                </mc:Fallback>
              </mc:AlternateContent>
            </w:r>
            <w:r>
              <w:rPr>
                <w:b/>
              </w:rPr>
              <w:t xml:space="preserve">   </w:t>
            </w:r>
            <w:r w:rsidRPr="00DD029B">
              <w:rPr>
                <w:b/>
              </w:rPr>
              <w:t xml:space="preserve"> TRẠM Y TẾ </w:t>
            </w:r>
          </w:p>
        </w:tc>
      </w:tr>
    </w:tbl>
    <w:p w:rsidR="004173CD" w:rsidRDefault="004173CD" w:rsidP="004173CD">
      <w:pPr>
        <w:spacing w:before="120" w:after="120"/>
        <w:rPr>
          <w:b/>
          <w:bCs/>
        </w:rPr>
      </w:pPr>
    </w:p>
    <w:p w:rsidR="004173CD" w:rsidRPr="004173CD" w:rsidRDefault="004173CD" w:rsidP="004173CD">
      <w:pPr>
        <w:spacing w:before="120" w:after="120"/>
        <w:ind w:left="-284"/>
        <w:jc w:val="center"/>
        <w:rPr>
          <w:b/>
          <w:bCs/>
        </w:rPr>
      </w:pPr>
      <w:r>
        <w:rPr>
          <w:b/>
          <w:bCs/>
        </w:rPr>
        <w:t>TRUYỀN THÔNG PHÒNG CHỐNG BỆNH DO VIRUT Nipah</w:t>
      </w:r>
    </w:p>
    <w:p w:rsidR="004173CD" w:rsidRDefault="004173CD" w:rsidP="004173CD">
      <w:pPr>
        <w:spacing w:before="120" w:after="120"/>
        <w:ind w:firstLine="720"/>
        <w:jc w:val="both"/>
        <w:outlineLvl w:val="2"/>
        <w:rPr>
          <w:bCs/>
        </w:rPr>
      </w:pPr>
      <w:r>
        <w:rPr>
          <w:bCs/>
        </w:rPr>
        <w:t>Bệnh do vi rút Nipah</w:t>
      </w:r>
      <w:r>
        <w:rPr>
          <w:bCs/>
          <w:lang w:val="vi-VN"/>
        </w:rPr>
        <w:t xml:space="preserve"> (NiV)</w:t>
      </w:r>
      <w:r>
        <w:rPr>
          <w:bCs/>
        </w:rPr>
        <w:t xml:space="preserve"> là bệnh truyền nhiễm cấp tính do vi rút Nipah gây ra. Bệnh có thể lây lan thành dịch, tỷ lệ tử vong cao</w:t>
      </w:r>
      <w:r>
        <w:rPr>
          <w:bCs/>
          <w:lang w:val="vi-VN"/>
        </w:rPr>
        <w:t xml:space="preserve">. </w:t>
      </w:r>
      <w:r>
        <w:t xml:space="preserve">Lần đầu vi rút này được phát hiện vào năm </w:t>
      </w:r>
      <w:r>
        <w:rPr>
          <w:rStyle w:val="Strong"/>
        </w:rPr>
        <w:t>1999 tại Malaysia</w:t>
      </w:r>
      <w:r>
        <w:t xml:space="preserve"> và sau đó ghi nhận ở nhiều nước như Bangladesh, Ấn Độ, Singapore.</w:t>
      </w:r>
    </w:p>
    <w:p w:rsidR="004173CD" w:rsidRDefault="004173CD" w:rsidP="004173CD">
      <w:pPr>
        <w:spacing w:before="120" w:after="120"/>
        <w:ind w:firstLine="720"/>
        <w:jc w:val="both"/>
        <w:outlineLvl w:val="2"/>
        <w:rPr>
          <w:b/>
          <w:bCs/>
          <w:lang w:val="vi-VN"/>
        </w:rPr>
      </w:pPr>
      <w:r>
        <w:rPr>
          <w:b/>
          <w:bCs/>
        </w:rPr>
        <w:t>1. Tình hình dịch</w:t>
      </w:r>
    </w:p>
    <w:p w:rsidR="004173CD" w:rsidRDefault="004173CD" w:rsidP="004173CD">
      <w:pPr>
        <w:spacing w:before="120" w:after="120"/>
        <w:ind w:firstLine="720"/>
        <w:jc w:val="both"/>
        <w:outlineLvl w:val="2"/>
        <w:rPr>
          <w:rStyle w:val="fontstyle01"/>
          <w:lang w:val="vi-VN"/>
        </w:rPr>
      </w:pPr>
      <w:r>
        <w:rPr>
          <w:rStyle w:val="fontstyle01"/>
        </w:rPr>
        <w:t>- Theo thông tin từ Bộ Y tế, từ ngày 27/12/2025 đến 27/01/2026, Ấn Độ đã ghi nhận 05 trường hợp nghi ngờ mắc bệnh do vi rút Nipah (trong đó có 02 trường hợp có xét nghiệm khẳng định) tại một bệnh viện ở Tây Bengal.</w:t>
      </w:r>
      <w:r>
        <w:t xml:space="preserve"> WHO ghi nhận NiV xuất hiện rải rác ở một số nước nhưng </w:t>
      </w:r>
      <w:r>
        <w:rPr>
          <w:bCs/>
        </w:rPr>
        <w:t>chưa thành ổ dịch lớn</w:t>
      </w:r>
      <w:r>
        <w:t>.</w:t>
      </w:r>
      <w:r>
        <w:rPr>
          <w:rStyle w:val="fontstyle01"/>
        </w:rPr>
        <w:t xml:space="preserve"> </w:t>
      </w:r>
    </w:p>
    <w:p w:rsidR="004173CD" w:rsidRDefault="004173CD" w:rsidP="004173CD">
      <w:pPr>
        <w:spacing w:before="120" w:after="120"/>
        <w:ind w:firstLine="720"/>
        <w:jc w:val="both"/>
        <w:outlineLvl w:val="2"/>
        <w:rPr>
          <w:rStyle w:val="fontstyle01"/>
          <w:lang w:val="vi-VN"/>
        </w:rPr>
      </w:pPr>
      <w:r>
        <w:rPr>
          <w:rStyle w:val="fontstyle01"/>
          <w:lang w:val="vi-VN"/>
        </w:rPr>
        <w:t>- Tại Thái Lan đã ghi nhận sự xuất hiện của NiV trên dơi ăn quả, nhưng ở mật độ thấp</w:t>
      </w:r>
      <w:r>
        <w:rPr>
          <w:rStyle w:val="fontstyle01"/>
        </w:rPr>
        <w:t>; c</w:t>
      </w:r>
      <w:r>
        <w:rPr>
          <w:rStyle w:val="fontstyle01"/>
          <w:lang w:val="vi-VN"/>
        </w:rPr>
        <w:t xml:space="preserve">hưa ghi nhận trường hợp mắc trên người. </w:t>
      </w:r>
    </w:p>
    <w:p w:rsidR="004173CD" w:rsidRDefault="004173CD" w:rsidP="004173CD">
      <w:pPr>
        <w:spacing w:before="120" w:after="120"/>
        <w:ind w:firstLine="720"/>
        <w:jc w:val="both"/>
        <w:outlineLvl w:val="2"/>
        <w:rPr>
          <w:rStyle w:val="fontstyle01"/>
          <w:lang w:val="vi-VN"/>
        </w:rPr>
      </w:pPr>
      <w:r>
        <w:rPr>
          <w:rStyle w:val="fontstyle01"/>
        </w:rPr>
        <w:t xml:space="preserve">- </w:t>
      </w:r>
      <w:r>
        <w:rPr>
          <w:rStyle w:val="fontstyle01"/>
          <w:lang w:val="vi-VN"/>
        </w:rPr>
        <w:t>T</w:t>
      </w:r>
      <w:r>
        <w:rPr>
          <w:rStyle w:val="fontstyle01"/>
        </w:rPr>
        <w:t>ại Việt Nam và tại Hà Nội</w:t>
      </w:r>
      <w:r>
        <w:rPr>
          <w:rStyle w:val="fontstyle01"/>
          <w:lang w:val="vi-VN"/>
        </w:rPr>
        <w:t xml:space="preserve">, </w:t>
      </w:r>
      <w:r>
        <w:rPr>
          <w:rStyle w:val="fontstyle01"/>
        </w:rPr>
        <w:t xml:space="preserve">tính </w:t>
      </w:r>
      <w:r>
        <w:rPr>
          <w:rStyle w:val="fontstyle01"/>
          <w:lang w:val="vi-VN"/>
        </w:rPr>
        <w:t>đến</w:t>
      </w:r>
      <w:r>
        <w:rPr>
          <w:rStyle w:val="fontstyle01"/>
        </w:rPr>
        <w:t xml:space="preserve"> ngày 28/01/2026 chưa</w:t>
      </w:r>
      <w:r>
        <w:rPr>
          <w:rStyle w:val="fontstyle01"/>
          <w:lang w:val="vi-VN"/>
        </w:rPr>
        <w:t xml:space="preserve"> từng</w:t>
      </w:r>
      <w:r>
        <w:rPr>
          <w:rStyle w:val="fontstyle01"/>
        </w:rPr>
        <w:t xml:space="preserve"> ghi nhận ca bệnh do NiV.</w:t>
      </w:r>
    </w:p>
    <w:p w:rsidR="004173CD" w:rsidRDefault="004173CD" w:rsidP="004173CD">
      <w:pPr>
        <w:spacing w:before="120" w:after="120"/>
        <w:ind w:firstLine="720"/>
        <w:jc w:val="both"/>
        <w:outlineLvl w:val="2"/>
        <w:rPr>
          <w:rStyle w:val="fontstyle01"/>
          <w:b/>
        </w:rPr>
      </w:pPr>
      <w:r>
        <w:rPr>
          <w:rStyle w:val="fontstyle01"/>
          <w:b/>
        </w:rPr>
        <w:t>2. Đặc điểm của bệnh</w:t>
      </w:r>
    </w:p>
    <w:p w:rsidR="004173CD" w:rsidRDefault="004173CD" w:rsidP="004173CD">
      <w:pPr>
        <w:spacing w:before="120" w:after="120"/>
        <w:ind w:firstLine="720"/>
        <w:jc w:val="both"/>
        <w:outlineLvl w:val="2"/>
        <w:rPr>
          <w:bCs/>
          <w:lang w:val="vi-VN"/>
        </w:rPr>
      </w:pPr>
      <w:r>
        <w:rPr>
          <w:rStyle w:val="fontstyle01"/>
          <w:b/>
        </w:rPr>
        <w:t>2.1. Tác nhân</w:t>
      </w:r>
    </w:p>
    <w:p w:rsidR="004173CD" w:rsidRDefault="004173CD" w:rsidP="004173CD">
      <w:pPr>
        <w:spacing w:before="120" w:after="120"/>
        <w:ind w:firstLine="720"/>
        <w:jc w:val="both"/>
        <w:rPr>
          <w:b/>
          <w:color w:val="000000" w:themeColor="text1"/>
        </w:rPr>
      </w:pPr>
      <w:r>
        <w:rPr>
          <w:color w:val="000000" w:themeColor="text1"/>
        </w:rPr>
        <w:t>NiV là một</w:t>
      </w:r>
      <w:r>
        <w:rPr>
          <w:b/>
          <w:color w:val="000000" w:themeColor="text1"/>
        </w:rPr>
        <w:t xml:space="preserve"> </w:t>
      </w:r>
      <w:r>
        <w:rPr>
          <w:rStyle w:val="Strong"/>
          <w:color w:val="000000" w:themeColor="text1"/>
        </w:rPr>
        <w:t xml:space="preserve">vi rút RNA thuộc họ </w:t>
      </w:r>
      <w:r>
        <w:rPr>
          <w:rStyle w:val="Emphasis"/>
          <w:bCs/>
          <w:color w:val="000000" w:themeColor="text1"/>
        </w:rPr>
        <w:t>Paramyxoviridae</w:t>
      </w:r>
      <w:r>
        <w:rPr>
          <w:rStyle w:val="Strong"/>
          <w:color w:val="000000" w:themeColor="text1"/>
        </w:rPr>
        <w:t xml:space="preserve">, chi </w:t>
      </w:r>
      <w:r>
        <w:rPr>
          <w:rStyle w:val="Emphasis"/>
          <w:bCs/>
          <w:color w:val="000000" w:themeColor="text1"/>
        </w:rPr>
        <w:t>Henipavirus</w:t>
      </w:r>
      <w:r>
        <w:rPr>
          <w:color w:val="000000" w:themeColor="text1"/>
        </w:rPr>
        <w:t xml:space="preserve">. Đây là một </w:t>
      </w:r>
      <w:r>
        <w:rPr>
          <w:rStyle w:val="Strong"/>
          <w:color w:val="000000" w:themeColor="text1"/>
        </w:rPr>
        <w:t>vi rút gây bệnh truyền nhiễm từ động vật sang người (zoonosis)</w:t>
      </w:r>
      <w:r>
        <w:rPr>
          <w:color w:val="000000" w:themeColor="text1"/>
        </w:rPr>
        <w:t xml:space="preserve">. </w:t>
      </w:r>
    </w:p>
    <w:p w:rsidR="004173CD" w:rsidRDefault="004173CD" w:rsidP="004173CD">
      <w:pPr>
        <w:pStyle w:val="NormalWeb"/>
        <w:spacing w:before="120" w:beforeAutospacing="0" w:after="120" w:afterAutospacing="0"/>
        <w:ind w:firstLine="720"/>
        <w:jc w:val="both"/>
        <w:rPr>
          <w:b/>
          <w:bCs/>
          <w:sz w:val="28"/>
          <w:szCs w:val="28"/>
          <w:lang w:val="vi-VN"/>
        </w:rPr>
      </w:pPr>
      <w:r>
        <w:rPr>
          <w:b/>
          <w:bCs/>
          <w:sz w:val="28"/>
          <w:szCs w:val="28"/>
        </w:rPr>
        <w:t>2.2. Thời gian ủ bệnh</w:t>
      </w:r>
    </w:p>
    <w:p w:rsidR="004173CD" w:rsidRDefault="004173CD" w:rsidP="004173CD">
      <w:pPr>
        <w:spacing w:before="120" w:after="120"/>
        <w:ind w:firstLine="720"/>
        <w:jc w:val="both"/>
        <w:rPr>
          <w:lang w:val="vi-VN"/>
        </w:rPr>
      </w:pPr>
      <w:r>
        <w:t xml:space="preserve">Thời gian ủ bệnh </w:t>
      </w:r>
      <w:r>
        <w:rPr>
          <w:bCs/>
        </w:rPr>
        <w:t>khoảng 4–14 ngày</w:t>
      </w:r>
      <w:r>
        <w:t xml:space="preserve"> sau khi tiếp xúc với vi rút. </w:t>
      </w:r>
    </w:p>
    <w:p w:rsidR="004173CD" w:rsidRDefault="004173CD" w:rsidP="004173CD">
      <w:pPr>
        <w:spacing w:before="120" w:after="120"/>
        <w:ind w:firstLine="720"/>
        <w:jc w:val="both"/>
        <w:outlineLvl w:val="1"/>
        <w:rPr>
          <w:b/>
          <w:bCs/>
        </w:rPr>
      </w:pPr>
      <w:r>
        <w:rPr>
          <w:b/>
          <w:bCs/>
        </w:rPr>
        <w:t>2.</w:t>
      </w:r>
      <w:r>
        <w:rPr>
          <w:b/>
          <w:bCs/>
          <w:lang w:val="vi-VN"/>
        </w:rPr>
        <w:t>3</w:t>
      </w:r>
      <w:r>
        <w:rPr>
          <w:b/>
          <w:bCs/>
        </w:rPr>
        <w:t>. Đường lây truyền</w:t>
      </w:r>
    </w:p>
    <w:p w:rsidR="004173CD" w:rsidRDefault="004173CD" w:rsidP="004173CD">
      <w:pPr>
        <w:spacing w:before="120" w:after="120"/>
        <w:ind w:firstLine="720"/>
        <w:jc w:val="both"/>
      </w:pPr>
      <w:r>
        <w:rPr>
          <w:bCs/>
        </w:rPr>
        <w:t>Lây</w:t>
      </w:r>
      <w:r>
        <w:rPr>
          <w:bCs/>
          <w:lang w:val="vi-VN"/>
        </w:rPr>
        <w:t xml:space="preserve"> truyền t</w:t>
      </w:r>
      <w:r>
        <w:rPr>
          <w:bCs/>
        </w:rPr>
        <w:t>ừ động vật sang người:</w:t>
      </w:r>
    </w:p>
    <w:p w:rsidR="004173CD" w:rsidRDefault="004173CD" w:rsidP="004173CD">
      <w:pPr>
        <w:spacing w:before="120" w:after="120"/>
        <w:ind w:firstLine="720"/>
        <w:jc w:val="both"/>
        <w:rPr>
          <w:lang w:val="vi-VN"/>
        </w:rPr>
      </w:pPr>
      <w:r>
        <w:t>+ NiV</w:t>
      </w:r>
      <w:r>
        <w:rPr>
          <w:lang w:val="vi-VN"/>
        </w:rPr>
        <w:t xml:space="preserve"> </w:t>
      </w:r>
      <w:r>
        <w:t>tồn tại chủ yếu ở dơi ăn quả (vật chủ tự nhiên). Vi rút có thể lây sang lợn và một số động vật khác, sau đó lây sang người.</w:t>
      </w:r>
    </w:p>
    <w:p w:rsidR="004173CD" w:rsidRDefault="004173CD" w:rsidP="004173CD">
      <w:pPr>
        <w:spacing w:before="120" w:after="120"/>
        <w:ind w:firstLine="720"/>
        <w:jc w:val="both"/>
        <w:rPr>
          <w:bCs/>
          <w:iCs/>
        </w:rPr>
      </w:pPr>
      <w:r>
        <w:t xml:space="preserve">+ Người có thể nhiễm khi tiếp xúc </w:t>
      </w:r>
      <w:r>
        <w:rPr>
          <w:bCs/>
        </w:rPr>
        <w:t>trực tiếp với động vật bị nhiễm</w:t>
      </w:r>
      <w:r>
        <w:rPr>
          <w:bCs/>
          <w:lang w:val="vi-VN"/>
        </w:rPr>
        <w:t xml:space="preserve"> NiV</w:t>
      </w:r>
      <w:r>
        <w:rPr>
          <w:bCs/>
        </w:rPr>
        <w:t xml:space="preserve"> (</w:t>
      </w:r>
      <w:r>
        <w:rPr>
          <w:iCs/>
        </w:rPr>
        <w:t>dơi, lợn, vật trung gian)</w:t>
      </w:r>
      <w:r>
        <w:t xml:space="preserve"> hoặc </w:t>
      </w:r>
      <w:r>
        <w:rPr>
          <w:bCs/>
        </w:rPr>
        <w:t>tiếp xúc với thực phẩm/vật phẩm bị nhiễm vi rút</w:t>
      </w:r>
      <w:r>
        <w:t xml:space="preserve"> </w:t>
      </w:r>
      <w:r>
        <w:rPr>
          <w:bCs/>
          <w:iCs/>
        </w:rPr>
        <w:t xml:space="preserve">(ví dụ trái cây chưa rửa sạch bị dơi gặm, nước nhựa cây nhiễm). </w:t>
      </w:r>
    </w:p>
    <w:p w:rsidR="004173CD" w:rsidRDefault="004173CD" w:rsidP="004173CD">
      <w:pPr>
        <w:spacing w:before="120" w:after="120"/>
        <w:ind w:firstLine="720"/>
        <w:jc w:val="both"/>
        <w:outlineLvl w:val="2"/>
        <w:rPr>
          <w:lang w:val="vi-VN"/>
        </w:rPr>
      </w:pPr>
      <w:r>
        <w:rPr>
          <w:bCs/>
        </w:rPr>
        <w:t xml:space="preserve">- Từ người sang người: </w:t>
      </w:r>
      <w:r>
        <w:t xml:space="preserve">Có thể xảy ra khi tiếp xúc </w:t>
      </w:r>
      <w:r>
        <w:rPr>
          <w:bCs/>
        </w:rPr>
        <w:t>trực tiếp với dịch tiết, dịch bài tiết của người bệnh</w:t>
      </w:r>
      <w:r>
        <w:t xml:space="preserve"> (như nước bọt, nước mũi, dịch cơ thể).</w:t>
      </w:r>
    </w:p>
    <w:p w:rsidR="004173CD" w:rsidRDefault="004173CD" w:rsidP="004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20"/>
        <w:jc w:val="both"/>
        <w:rPr>
          <w:b/>
          <w:bCs/>
        </w:rPr>
      </w:pPr>
      <w:r>
        <w:rPr>
          <w:b/>
          <w:bCs/>
          <w:lang w:val="vi-VN"/>
        </w:rPr>
        <w:t xml:space="preserve">2.4. </w:t>
      </w:r>
      <w:r>
        <w:rPr>
          <w:b/>
          <w:bCs/>
        </w:rPr>
        <w:t>Những đối tượng nào có nguy cơ cao mắc bệnh nhiễm vi rút Nipah?</w:t>
      </w:r>
    </w:p>
    <w:p w:rsidR="004173CD" w:rsidRDefault="004173CD" w:rsidP="004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20"/>
        <w:jc w:val="both"/>
        <w:rPr>
          <w:b/>
          <w:bCs/>
        </w:rPr>
      </w:pPr>
      <w:r>
        <w:rPr>
          <w:lang w:val="vi-VN"/>
        </w:rPr>
        <w:lastRenderedPageBreak/>
        <w:t xml:space="preserve">- </w:t>
      </w:r>
      <w:r>
        <w:t>Những người tiếp xúc với khu vực có dơi ăn quả sinh sống/ các vật dụng bị ô nhiễ</w:t>
      </w:r>
      <w:r>
        <w:rPr>
          <w:lang w:val="vi-VN"/>
        </w:rPr>
        <w:t xml:space="preserve">m. </w:t>
      </w:r>
      <w:r>
        <w:t>Nguồn phát thải từ các giếng bỏ hoang, hang động, vườn cây ăn quả… có nguy cơ nhiễm cao hơn</w:t>
      </w:r>
      <w:r>
        <w:rPr>
          <w:lang w:val="vi-VN"/>
        </w:rPr>
        <w:t>.</w:t>
      </w:r>
    </w:p>
    <w:p w:rsidR="004173CD" w:rsidRDefault="004173CD" w:rsidP="004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20"/>
        <w:jc w:val="both"/>
      </w:pPr>
      <w:r>
        <w:rPr>
          <w:lang w:val="vi-VN"/>
        </w:rPr>
        <w:t xml:space="preserve">- </w:t>
      </w:r>
      <w:r>
        <w:t>Những người tiếp xúc trực tiếp với lợn bệnh hoặc mô bị nhiễm bệnh của lợn.</w:t>
      </w:r>
    </w:p>
    <w:p w:rsidR="004173CD" w:rsidRDefault="004173CD" w:rsidP="004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20"/>
        <w:jc w:val="both"/>
        <w:rPr>
          <w:lang w:val="vi-VN"/>
        </w:rPr>
      </w:pPr>
      <w:r>
        <w:rPr>
          <w:lang w:val="vi-VN"/>
        </w:rPr>
        <w:t xml:space="preserve">- </w:t>
      </w:r>
      <w:r>
        <w:t>Những người tiếp xúc gần với người đã tử vong do nhiễm NiV trong quá trình chôn cất hoặ</w:t>
      </w:r>
      <w:r>
        <w:rPr>
          <w:lang w:val="vi-VN"/>
        </w:rPr>
        <w:t xml:space="preserve">c </w:t>
      </w:r>
      <w:r>
        <w:t>nghi lễ mai</w:t>
      </w:r>
      <w:r>
        <w:rPr>
          <w:lang w:val="vi-VN"/>
        </w:rPr>
        <w:t xml:space="preserve"> táng.</w:t>
      </w:r>
    </w:p>
    <w:p w:rsidR="004173CD" w:rsidRDefault="004173CD" w:rsidP="004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20"/>
        <w:jc w:val="both"/>
        <w:rPr>
          <w:lang w:val="vi-VN"/>
        </w:rPr>
      </w:pPr>
      <w:r>
        <w:rPr>
          <w:lang w:val="vi-VN"/>
        </w:rPr>
        <w:t xml:space="preserve">- </w:t>
      </w:r>
      <w:r>
        <w:t>Nhân viên y tế có tiếp xúc trực tiếp với các trường hợp nghi nhiễm hoặc đã được xác nhận mắc bệnh.</w:t>
      </w:r>
      <w:r>
        <w:rPr>
          <w:lang w:val="vi-VN"/>
        </w:rPr>
        <w:t xml:space="preserve"> K</w:t>
      </w:r>
      <w:r>
        <w:t>hông sử dụng các biện pháp phòng ngừa tiêu chuẩ</w:t>
      </w:r>
      <w:r>
        <w:rPr>
          <w:lang w:val="vi-VN"/>
        </w:rPr>
        <w:t>n.</w:t>
      </w:r>
    </w:p>
    <w:p w:rsidR="004173CD" w:rsidRDefault="004173CD" w:rsidP="004173CD">
      <w:pPr>
        <w:spacing w:before="120" w:after="120"/>
        <w:ind w:firstLine="720"/>
        <w:jc w:val="both"/>
        <w:outlineLvl w:val="2"/>
        <w:rPr>
          <w:b/>
          <w:bCs/>
        </w:rPr>
      </w:pPr>
      <w:r>
        <w:rPr>
          <w:b/>
          <w:bCs/>
        </w:rPr>
        <w:t>2.</w:t>
      </w:r>
      <w:r>
        <w:rPr>
          <w:b/>
          <w:bCs/>
          <w:lang w:val="vi-VN"/>
        </w:rPr>
        <w:t>5</w:t>
      </w:r>
      <w:r>
        <w:rPr>
          <w:b/>
          <w:bCs/>
        </w:rPr>
        <w:t>. Triệu chứng chính</w:t>
      </w:r>
    </w:p>
    <w:p w:rsidR="004173CD" w:rsidRDefault="004173CD" w:rsidP="004173CD">
      <w:pPr>
        <w:spacing w:before="120" w:after="120"/>
        <w:ind w:firstLine="720"/>
        <w:jc w:val="both"/>
      </w:pPr>
      <w:r>
        <w:t xml:space="preserve">- Ban đầu người bệnh có thể có các biểu hiện như </w:t>
      </w:r>
      <w:r>
        <w:rPr>
          <w:bCs/>
        </w:rPr>
        <w:t>đau đầu, đau cơ, nôn mửa, đau họng</w:t>
      </w:r>
      <w:r>
        <w:t xml:space="preserve">. </w:t>
      </w:r>
    </w:p>
    <w:p w:rsidR="004173CD" w:rsidRDefault="004173CD" w:rsidP="004173CD">
      <w:pPr>
        <w:spacing w:before="120" w:after="120"/>
        <w:ind w:firstLine="720"/>
        <w:jc w:val="both"/>
      </w:pPr>
      <w:r>
        <w:t xml:space="preserve">- Sau đó có thể xuất hiện </w:t>
      </w:r>
      <w:r>
        <w:rPr>
          <w:bCs/>
        </w:rPr>
        <w:t>chóng mặt, buồn ngủ, rối loạn ý thức và các dấu hiệu thần kinh</w:t>
      </w:r>
      <w:r>
        <w:t xml:space="preserve"> gợi ý </w:t>
      </w:r>
      <w:r>
        <w:rPr>
          <w:bCs/>
        </w:rPr>
        <w:t>viêm não</w:t>
      </w:r>
      <w:r>
        <w:t xml:space="preserve">. </w:t>
      </w:r>
    </w:p>
    <w:p w:rsidR="004173CD" w:rsidRDefault="004173CD" w:rsidP="004173CD">
      <w:pPr>
        <w:spacing w:before="120" w:after="120"/>
        <w:ind w:firstLine="720"/>
        <w:jc w:val="both"/>
        <w:rPr>
          <w:b/>
        </w:rPr>
      </w:pPr>
      <w:r>
        <w:rPr>
          <w:b/>
          <w:bCs/>
        </w:rPr>
        <w:t>2.</w:t>
      </w:r>
      <w:r>
        <w:rPr>
          <w:b/>
          <w:bCs/>
          <w:lang w:val="vi-VN"/>
        </w:rPr>
        <w:t>6</w:t>
      </w:r>
      <w:r>
        <w:rPr>
          <w:b/>
          <w:bCs/>
        </w:rPr>
        <w:t>. Biến chứng và tử vong</w:t>
      </w:r>
    </w:p>
    <w:p w:rsidR="004173CD" w:rsidRDefault="004173CD" w:rsidP="004173CD">
      <w:pPr>
        <w:spacing w:before="120" w:after="120"/>
        <w:ind w:firstLine="720"/>
        <w:jc w:val="both"/>
        <w:rPr>
          <w:b/>
        </w:rPr>
      </w:pPr>
      <w:r>
        <w:rPr>
          <w:bCs/>
        </w:rPr>
        <w:t>- Hệ thần kinh trung ương: Viêm não cấp tính</w:t>
      </w:r>
      <w:r>
        <w:t xml:space="preserve"> là tổn thương nổi bật nhất: vi rút xâm nhập và gây </w:t>
      </w:r>
      <w:r>
        <w:rPr>
          <w:bCs/>
        </w:rPr>
        <w:t>tổn thương tế bào thần kinh</w:t>
      </w:r>
      <w:r>
        <w:t xml:space="preserve">, dẫn tới </w:t>
      </w:r>
      <w:r>
        <w:rPr>
          <w:bCs/>
        </w:rPr>
        <w:t>rối loạn ý thức, co giật, hôn mê</w:t>
      </w:r>
      <w:r>
        <w:t xml:space="preserve">. </w:t>
      </w:r>
    </w:p>
    <w:p w:rsidR="004173CD" w:rsidRDefault="004173CD" w:rsidP="004173CD">
      <w:pPr>
        <w:spacing w:before="120" w:after="120"/>
        <w:ind w:firstLine="720"/>
        <w:jc w:val="both"/>
        <w:outlineLvl w:val="2"/>
        <w:rPr>
          <w:bCs/>
        </w:rPr>
      </w:pPr>
      <w:r>
        <w:rPr>
          <w:bCs/>
        </w:rPr>
        <w:t>- Hệ hô hấp: NiV</w:t>
      </w:r>
      <w:r>
        <w:t xml:space="preserve"> có thể gây </w:t>
      </w:r>
      <w:r>
        <w:rPr>
          <w:bCs/>
        </w:rPr>
        <w:t>nhiễm trùng hô hấp nặng, viêm phổi và khó thở</w:t>
      </w:r>
      <w:r>
        <w:t xml:space="preserve">. Trong một số trường hợp, bệnh tiến triển thành </w:t>
      </w:r>
      <w:r>
        <w:rPr>
          <w:bCs/>
        </w:rPr>
        <w:t>hội chứng suy hô hấp cấp</w:t>
      </w:r>
      <w:r>
        <w:t xml:space="preserve">. </w:t>
      </w:r>
    </w:p>
    <w:p w:rsidR="004173CD" w:rsidRDefault="004173CD" w:rsidP="004173CD">
      <w:pPr>
        <w:spacing w:before="120" w:after="120"/>
        <w:ind w:firstLine="720"/>
        <w:jc w:val="both"/>
        <w:outlineLvl w:val="2"/>
      </w:pPr>
      <w:r>
        <w:rPr>
          <w:bCs/>
        </w:rPr>
        <w:t>- Tổn thương đa cơ quan: NiV</w:t>
      </w:r>
      <w:r>
        <w:t xml:space="preserve"> có thể lan sang </w:t>
      </w:r>
      <w:r>
        <w:rPr>
          <w:bCs/>
        </w:rPr>
        <w:t>mạch máu và nhiều cơ quan khác nhau</w:t>
      </w:r>
      <w:r>
        <w:t xml:space="preserve">, gây </w:t>
      </w:r>
      <w:r>
        <w:rPr>
          <w:bCs/>
        </w:rPr>
        <w:t>viêm mạch, tổn thương phổi, thận, tim và hệ thần kinh rộng lớn</w:t>
      </w:r>
      <w:r>
        <w:t xml:space="preserve">, góp phần vào diễn tiến nặng của bệnh. </w:t>
      </w:r>
    </w:p>
    <w:p w:rsidR="004173CD" w:rsidRDefault="004173CD" w:rsidP="004173CD">
      <w:pPr>
        <w:spacing w:before="120" w:after="120"/>
        <w:ind w:firstLine="720"/>
        <w:jc w:val="both"/>
        <w:outlineLvl w:val="2"/>
        <w:rPr>
          <w:bCs/>
        </w:rPr>
      </w:pPr>
      <w:r>
        <w:rPr>
          <w:bCs/>
        </w:rPr>
        <w:t xml:space="preserve">- Tỷ lệ tử vong cao: </w:t>
      </w:r>
      <w:r>
        <w:t>Tỷ lệ tử vong ở những bệnh nhân nhập viện do</w:t>
      </w:r>
      <w:r>
        <w:rPr>
          <w:lang w:val="vi-VN"/>
        </w:rPr>
        <w:t xml:space="preserve"> NiV</w:t>
      </w:r>
      <w:r>
        <w:t xml:space="preserve"> được ghi nhận </w:t>
      </w:r>
      <w:r>
        <w:rPr>
          <w:bCs/>
        </w:rPr>
        <w:t>khoảng từ 40–75%</w:t>
      </w:r>
      <w:r>
        <w:t>.</w:t>
      </w:r>
    </w:p>
    <w:p w:rsidR="004173CD" w:rsidRDefault="004173CD" w:rsidP="004173CD">
      <w:pPr>
        <w:spacing w:before="120" w:after="120"/>
        <w:ind w:firstLine="720"/>
        <w:jc w:val="both"/>
        <w:outlineLvl w:val="2"/>
        <w:rPr>
          <w:bCs/>
        </w:rPr>
      </w:pPr>
      <w:r>
        <w:rPr>
          <w:b/>
          <w:bCs/>
        </w:rPr>
        <w:t>3. Biện pháp điều trị và dự phòng</w:t>
      </w:r>
    </w:p>
    <w:p w:rsidR="004173CD" w:rsidRDefault="004173CD" w:rsidP="004173CD">
      <w:pPr>
        <w:spacing w:before="120" w:after="120"/>
        <w:ind w:firstLine="720"/>
        <w:jc w:val="both"/>
        <w:outlineLvl w:val="2"/>
        <w:rPr>
          <w:b/>
          <w:bCs/>
        </w:rPr>
      </w:pPr>
      <w:r>
        <w:rPr>
          <w:b/>
          <w:bCs/>
        </w:rPr>
        <w:t>3.1. Điều trị</w:t>
      </w:r>
    </w:p>
    <w:p w:rsidR="004173CD" w:rsidRDefault="004173CD" w:rsidP="004173CD">
      <w:pPr>
        <w:spacing w:before="120" w:after="120"/>
        <w:ind w:firstLine="720"/>
        <w:jc w:val="both"/>
        <w:rPr>
          <w:lang w:val="vi-VN"/>
        </w:rPr>
      </w:pPr>
      <w:r>
        <w:rPr>
          <w:bCs/>
        </w:rPr>
        <w:t>- Chưa có thuốc điều trị đặc hiệu cho</w:t>
      </w:r>
      <w:r>
        <w:rPr>
          <w:bCs/>
          <w:lang w:val="vi-VN"/>
        </w:rPr>
        <w:t xml:space="preserve"> NiV.</w:t>
      </w:r>
    </w:p>
    <w:p w:rsidR="004173CD" w:rsidRDefault="004173CD" w:rsidP="004173CD">
      <w:pPr>
        <w:spacing w:before="120" w:after="120"/>
        <w:ind w:firstLine="720"/>
        <w:jc w:val="both"/>
      </w:pPr>
      <w:r>
        <w:t xml:space="preserve">- Điều trị chủ yếu là </w:t>
      </w:r>
      <w:r>
        <w:rPr>
          <w:bCs/>
        </w:rPr>
        <w:t>chăm sóc hỗ trợ toàn diện</w:t>
      </w:r>
      <w:r>
        <w:t xml:space="preserve">, bao gồm hồi sức tích cực theo triệu chứng, kiểm soát các biến chứng, hỗ trợ hô hấp khi cần thiết. </w:t>
      </w:r>
    </w:p>
    <w:p w:rsidR="004173CD" w:rsidRDefault="004173CD" w:rsidP="004173CD">
      <w:pPr>
        <w:spacing w:before="120" w:after="120"/>
        <w:ind w:firstLine="720"/>
        <w:jc w:val="both"/>
        <w:outlineLvl w:val="2"/>
        <w:rPr>
          <w:b/>
          <w:bCs/>
          <w:lang w:val="vi-VN"/>
        </w:rPr>
      </w:pPr>
      <w:r>
        <w:rPr>
          <w:b/>
          <w:bCs/>
        </w:rPr>
        <w:t>3.2</w:t>
      </w:r>
      <w:r>
        <w:rPr>
          <w:b/>
          <w:bCs/>
          <w:lang w:val="vi-VN"/>
        </w:rPr>
        <w:t xml:space="preserve">. </w:t>
      </w:r>
      <w:r>
        <w:rPr>
          <w:b/>
          <w:bCs/>
        </w:rPr>
        <w:t>Các biện pháp dự phòng</w:t>
      </w:r>
    </w:p>
    <w:p w:rsidR="004173CD" w:rsidRDefault="004173CD" w:rsidP="004173CD">
      <w:pPr>
        <w:spacing w:before="120" w:after="120"/>
        <w:ind w:firstLine="720"/>
        <w:jc w:val="both"/>
        <w:outlineLvl w:val="2"/>
        <w:rPr>
          <w:bCs/>
          <w:iCs/>
        </w:rPr>
      </w:pPr>
      <w:r>
        <w:rPr>
          <w:bCs/>
          <w:iCs/>
          <w:lang w:val="vi-VN"/>
        </w:rPr>
        <w:t>Hiện nay chưa có vắc xin phòng bệnh cho NiV</w:t>
      </w:r>
      <w:r>
        <w:rPr>
          <w:bCs/>
          <w:iCs/>
        </w:rPr>
        <w:t>, do vậy cần nghiêm túc tuân thủ các biện pháp dự phòng không đặc hiệu, cụ thể:</w:t>
      </w:r>
    </w:p>
    <w:p w:rsidR="004173CD" w:rsidRDefault="004173CD" w:rsidP="004173CD">
      <w:pPr>
        <w:spacing w:before="120" w:after="120"/>
        <w:ind w:firstLine="720"/>
        <w:jc w:val="both"/>
        <w:outlineLvl w:val="2"/>
        <w:rPr>
          <w:b/>
          <w:bCs/>
        </w:rPr>
      </w:pPr>
      <w:r>
        <w:rPr>
          <w:b/>
          <w:bCs/>
        </w:rPr>
        <w:t xml:space="preserve">Đối với </w:t>
      </w:r>
      <w:r>
        <w:rPr>
          <w:b/>
          <w:bCs/>
          <w:lang w:val="vi-VN"/>
        </w:rPr>
        <w:t>c</w:t>
      </w:r>
      <w:r>
        <w:rPr>
          <w:b/>
          <w:bCs/>
        </w:rPr>
        <w:t>ộng đồng</w:t>
      </w:r>
    </w:p>
    <w:p w:rsidR="004173CD" w:rsidRDefault="004173CD" w:rsidP="004173CD">
      <w:pPr>
        <w:spacing w:before="120" w:after="120"/>
        <w:ind w:firstLine="720"/>
        <w:jc w:val="both"/>
        <w:outlineLvl w:val="2"/>
      </w:pPr>
      <w:r>
        <w:t>(1) Hạn chế đến khu vực có dịch bệnh do vi rút Nipah nếu không thực sự cần thiết.</w:t>
      </w:r>
    </w:p>
    <w:p w:rsidR="004173CD" w:rsidRDefault="004173CD" w:rsidP="004173CD">
      <w:pPr>
        <w:spacing w:before="120" w:after="120"/>
        <w:ind w:firstLine="720"/>
        <w:jc w:val="both"/>
        <w:outlineLvl w:val="2"/>
      </w:pPr>
      <w:r>
        <w:lastRenderedPageBreak/>
        <w:t>(2) Tự theo dõi sức khỏe, trong vòng 14 ngày kể từ khi về từ vùng dịch, nếu có các triệu chứng như: đau đầu, đau cơ, nôn mửa và đau họng, chóng mặt, buồn ngủ, lú lẫn, co giật cần liên hệ ngay với cơ sở y tế gần nhất, hạn chế tiếp xúc với người khác, thông báo rõ tiền sử dịch tễ cho nhân viên y tế.</w:t>
      </w:r>
    </w:p>
    <w:p w:rsidR="004173CD" w:rsidRDefault="004173CD" w:rsidP="004173CD">
      <w:pPr>
        <w:spacing w:before="120" w:after="120"/>
        <w:ind w:firstLine="720"/>
        <w:jc w:val="both"/>
        <w:outlineLvl w:val="2"/>
      </w:pPr>
      <w:r>
        <w:t>(3) Đảm bảo vệ sinh thực phẩm: thực hiện "Ăn chín, uống sôi", rửa sạch và gọt vỏ trái cây trước khi ăn, không ăn, uống các loại trái cây có dấu hiệu bị động vật (dơi, chim) cắn hoặc gặm nhấm; tránh uống nước nhựa cây (như nhựa cây thốt nốt, nhựa dừa sống hoặc chưa qua chế bi</w:t>
      </w:r>
      <w:bookmarkStart w:id="0" w:name="_GoBack"/>
      <w:bookmarkEnd w:id="0"/>
      <w:r>
        <w:t>ến).</w:t>
      </w:r>
    </w:p>
    <w:p w:rsidR="004173CD" w:rsidRDefault="004173CD" w:rsidP="004173CD">
      <w:pPr>
        <w:spacing w:before="120" w:after="120"/>
        <w:ind w:firstLine="720"/>
        <w:jc w:val="both"/>
        <w:outlineLvl w:val="2"/>
      </w:pPr>
      <w:r>
        <w:t>(4) Không tiếp xúc gần với động vật có khả năng lây truyền cao như là dơi ăn quả; thường xuyên rửa tay bằng xà phòng hoặc dung dịch sát khuẩn sau khi giết mổ, tiếp xúc với động vật.</w:t>
      </w:r>
    </w:p>
    <w:p w:rsidR="004173CD" w:rsidRDefault="004173CD" w:rsidP="004173CD">
      <w:pPr>
        <w:spacing w:before="120" w:after="120"/>
        <w:ind w:firstLine="720"/>
        <w:jc w:val="both"/>
        <w:outlineLvl w:val="2"/>
      </w:pPr>
      <w:r>
        <w:t>(5) Hạn chế tiếp xúc trực tiếp với người bệnh, vật phẩm ô nhiễm từ người bệnh; cần sử dụng khẩu trang, găng tay và đồ bảo hộ cá nhân khi chăm sóc, điều trị người nghi ngờ, mắc bệnh, sau đó rửa tay bằng xà phòng hoặc dung dịch sát khuẩn.</w:t>
      </w:r>
    </w:p>
    <w:p w:rsidR="004173CD" w:rsidRDefault="004173CD" w:rsidP="004173CD">
      <w:pPr>
        <w:spacing w:before="120" w:after="120"/>
        <w:ind w:firstLine="720"/>
        <w:jc w:val="both"/>
        <w:outlineLvl w:val="2"/>
        <w:rPr>
          <w:b/>
          <w:bCs/>
        </w:rPr>
      </w:pPr>
      <w:r>
        <w:rPr>
          <w:b/>
          <w:bCs/>
        </w:rPr>
        <w:t>Đối với nhân viên Y tế</w:t>
      </w:r>
    </w:p>
    <w:p w:rsidR="004173CD" w:rsidRDefault="004173CD" w:rsidP="004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20"/>
        <w:jc w:val="both"/>
      </w:pPr>
      <w:r>
        <w:t>- Rửa tay kỹ bằng xà phòng sau khi tiếp xúc với bệnh nhân</w:t>
      </w:r>
      <w:r>
        <w:rPr>
          <w:lang w:val="vi-VN"/>
        </w:rPr>
        <w:t xml:space="preserve"> nghi ngờ</w:t>
      </w:r>
      <w:r>
        <w:t>.</w:t>
      </w:r>
    </w:p>
    <w:p w:rsidR="004173CD" w:rsidRDefault="004173CD" w:rsidP="004173CD">
      <w:pPr>
        <w:spacing w:before="120" w:after="120"/>
        <w:ind w:firstLine="720"/>
        <w:jc w:val="both"/>
      </w:pPr>
      <w:r>
        <w:t xml:space="preserve">- Khi xử lý các trường hợp nhiễm Nipah (nghi ngờ/đã xác nhận), </w:t>
      </w:r>
      <w:r>
        <w:rPr>
          <w:lang w:val="vi-VN"/>
        </w:rPr>
        <w:t>cần</w:t>
      </w:r>
      <w:r>
        <w:t xml:space="preserve"> thực hiện các biện pháp phòng ngừa lây nhiễm. </w:t>
      </w:r>
    </w:p>
    <w:p w:rsidR="004173CD" w:rsidRDefault="004173CD" w:rsidP="00417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720"/>
        <w:jc w:val="both"/>
      </w:pPr>
      <w:r>
        <w:t>- Đối với các thủ thuật đường hô hấp, cần trang bị đồ bảo hộ cá nhân như áo choàng riêng lẻ</w:t>
      </w:r>
      <w:r>
        <w:rPr>
          <w:lang w:val="vi-VN"/>
        </w:rPr>
        <w:t xml:space="preserve"> </w:t>
      </w:r>
      <w:r>
        <w:t>(không thấm nước), găng tay, khẩu trang và kính bảo hộ hoặc tấm chắn mặt và giày.</w:t>
      </w:r>
    </w:p>
    <w:p w:rsidR="004173CD" w:rsidRDefault="004173CD" w:rsidP="004173CD">
      <w:pPr>
        <w:spacing w:before="120" w:after="120"/>
        <w:ind w:firstLine="720"/>
        <w:jc w:val="both"/>
      </w:pPr>
      <w:r>
        <w:t>- Đưa tất cả các trường hợp nghi nhiễm NiV</w:t>
      </w:r>
      <w:r>
        <w:rPr>
          <w:lang w:val="vi-VN"/>
        </w:rPr>
        <w:t xml:space="preserve"> </w:t>
      </w:r>
      <w:r>
        <w:t xml:space="preserve">vào khu/cơ sở cách ly tại bệnh viện. </w:t>
      </w:r>
    </w:p>
    <w:p w:rsidR="004173CD" w:rsidRDefault="004173CD" w:rsidP="004173CD">
      <w:pPr>
        <w:spacing w:before="120" w:after="120"/>
        <w:ind w:firstLine="720"/>
        <w:jc w:val="both"/>
      </w:pPr>
      <w:r>
        <w:t xml:space="preserve">- Tách riêng tất cả các trường hợp nghi nhiễm NiV khỏi tất cả các bệnh nhân khác trong khu điều trị, khu/cơ sở cách ly. </w:t>
      </w:r>
    </w:p>
    <w:p w:rsidR="004173CD" w:rsidRDefault="004173CD" w:rsidP="004173CD">
      <w:pPr>
        <w:spacing w:before="120" w:after="120"/>
        <w:ind w:firstLine="720"/>
        <w:jc w:val="both"/>
      </w:pPr>
      <w:r>
        <w:t xml:space="preserve">- Tránh tiếp xúc không cần thiết với những người nghi nhiễm NiV hoặc sử dụng biện pháp phòng hộ cá nhân. </w:t>
      </w:r>
    </w:p>
    <w:p w:rsidR="004173CD" w:rsidRPr="00866032" w:rsidRDefault="004173CD" w:rsidP="004173CD">
      <w:pPr>
        <w:pStyle w:val="NormalWeb"/>
        <w:shd w:val="clear" w:color="auto" w:fill="FFFFFF"/>
        <w:spacing w:before="0" w:beforeAutospacing="0" w:after="0" w:afterAutospacing="0"/>
        <w:jc w:val="both"/>
        <w:rPr>
          <w:color w:val="000000" w:themeColor="text1"/>
          <w:sz w:val="28"/>
          <w:szCs w:val="28"/>
          <w:lang w:val="fr-FR"/>
        </w:rPr>
      </w:pPr>
      <w:r w:rsidRPr="00866032">
        <w:rPr>
          <w:i/>
          <w:color w:val="000000" w:themeColor="text1"/>
          <w:sz w:val="28"/>
          <w:szCs w:val="28"/>
          <w:lang w:val="fr-FR"/>
        </w:rPr>
        <w:t xml:space="preserve">Gửi đài phát thanh xã phát 2 lần / </w:t>
      </w:r>
      <w:proofErr w:type="gramStart"/>
      <w:r w:rsidRPr="00866032">
        <w:rPr>
          <w:i/>
          <w:color w:val="000000" w:themeColor="text1"/>
          <w:sz w:val="28"/>
          <w:szCs w:val="28"/>
          <w:lang w:val="fr-FR"/>
        </w:rPr>
        <w:t>ngày,  từ</w:t>
      </w:r>
      <w:proofErr w:type="gramEnd"/>
      <w:r w:rsidRPr="00866032">
        <w:rPr>
          <w:i/>
          <w:color w:val="000000" w:themeColor="text1"/>
          <w:sz w:val="28"/>
          <w:szCs w:val="28"/>
          <w:lang w:val="fr-FR"/>
        </w:rPr>
        <w:t xml:space="preserve"> ngày… /…đến ngày …/…năm 2026 </w:t>
      </w:r>
    </w:p>
    <w:p w:rsidR="004173CD" w:rsidRPr="00866032" w:rsidRDefault="004173CD" w:rsidP="004173CD">
      <w:pPr>
        <w:ind w:firstLine="720"/>
        <w:jc w:val="center"/>
        <w:rPr>
          <w:i/>
          <w:color w:val="000000" w:themeColor="text1"/>
        </w:rPr>
      </w:pPr>
      <w:r w:rsidRPr="00866032">
        <w:rPr>
          <w:i/>
          <w:color w:val="000000" w:themeColor="text1"/>
          <w:lang w:val="fr-FR"/>
        </w:rPr>
        <w:t xml:space="preserve">                                              </w:t>
      </w:r>
      <w:r w:rsidRPr="00866032">
        <w:rPr>
          <w:i/>
          <w:color w:val="000000" w:themeColor="text1"/>
        </w:rPr>
        <w:t xml:space="preserve">Dân Hoà, </w:t>
      </w:r>
      <w:proofErr w:type="gramStart"/>
      <w:r w:rsidRPr="00866032">
        <w:rPr>
          <w:i/>
          <w:color w:val="000000" w:themeColor="text1"/>
        </w:rPr>
        <w:t>ngày  …</w:t>
      </w:r>
      <w:proofErr w:type="gramEnd"/>
      <w:r w:rsidRPr="00866032">
        <w:rPr>
          <w:i/>
          <w:color w:val="000000" w:themeColor="text1"/>
        </w:rPr>
        <w:t xml:space="preserve">  tháng … năm 2026  </w:t>
      </w:r>
      <w:r w:rsidRPr="00866032">
        <w:rPr>
          <w:b/>
          <w:color w:val="000000" w:themeColor="text1"/>
        </w:rPr>
        <w:t xml:space="preserve">                                                             </w:t>
      </w:r>
    </w:p>
    <w:tbl>
      <w:tblPr>
        <w:tblW w:w="0" w:type="auto"/>
        <w:tblLook w:val="04A0" w:firstRow="1" w:lastRow="0" w:firstColumn="1" w:lastColumn="0" w:noHBand="0" w:noVBand="1"/>
      </w:tblPr>
      <w:tblGrid>
        <w:gridCol w:w="4253"/>
        <w:gridCol w:w="4678"/>
        <w:gridCol w:w="269"/>
      </w:tblGrid>
      <w:tr w:rsidR="004173CD" w:rsidRPr="00866032" w:rsidTr="00034A4C">
        <w:tc>
          <w:tcPr>
            <w:tcW w:w="4253" w:type="dxa"/>
          </w:tcPr>
          <w:p w:rsidR="004173CD" w:rsidRPr="00866032" w:rsidRDefault="004173CD" w:rsidP="00034A4C">
            <w:pPr>
              <w:rPr>
                <w:b/>
                <w:color w:val="000000" w:themeColor="text1"/>
              </w:rPr>
            </w:pPr>
            <w:r w:rsidRPr="00866032">
              <w:rPr>
                <w:b/>
                <w:color w:val="000000" w:themeColor="text1"/>
                <w:lang w:val="fr-FR"/>
              </w:rPr>
              <w:t xml:space="preserve">     NG</w:t>
            </w:r>
            <w:r w:rsidRPr="00866032">
              <w:rPr>
                <w:b/>
                <w:color w:val="000000" w:themeColor="text1"/>
                <w:lang w:val="vi-VN"/>
              </w:rPr>
              <w:t>ƯỜI VIẾT BÀI</w:t>
            </w:r>
          </w:p>
          <w:p w:rsidR="004173CD" w:rsidRPr="00866032" w:rsidRDefault="004173CD" w:rsidP="00034A4C">
            <w:pPr>
              <w:jc w:val="both"/>
              <w:rPr>
                <w:b/>
                <w:color w:val="000000" w:themeColor="text1"/>
              </w:rPr>
            </w:pPr>
          </w:p>
          <w:p w:rsidR="004173CD" w:rsidRPr="00866032" w:rsidRDefault="004173CD" w:rsidP="00034A4C">
            <w:pPr>
              <w:jc w:val="both"/>
              <w:rPr>
                <w:b/>
                <w:color w:val="000000" w:themeColor="text1"/>
              </w:rPr>
            </w:pPr>
          </w:p>
          <w:p w:rsidR="004173CD" w:rsidRPr="00866032" w:rsidRDefault="004173CD" w:rsidP="00034A4C">
            <w:pPr>
              <w:jc w:val="both"/>
              <w:rPr>
                <w:b/>
                <w:color w:val="000000" w:themeColor="text1"/>
              </w:rPr>
            </w:pPr>
          </w:p>
          <w:p w:rsidR="004173CD" w:rsidRPr="00866032" w:rsidRDefault="004173CD" w:rsidP="00034A4C">
            <w:pPr>
              <w:jc w:val="both"/>
              <w:rPr>
                <w:color w:val="000000" w:themeColor="text1"/>
              </w:rPr>
            </w:pPr>
            <w:r>
              <w:rPr>
                <w:color w:val="000000" w:themeColor="text1"/>
              </w:rPr>
              <w:t xml:space="preserve">      </w:t>
            </w:r>
            <w:r w:rsidRPr="00866032">
              <w:rPr>
                <w:color w:val="000000" w:themeColor="text1"/>
              </w:rPr>
              <w:t xml:space="preserve">Nguyễn Thị </w:t>
            </w:r>
            <w:r>
              <w:rPr>
                <w:color w:val="000000" w:themeColor="text1"/>
              </w:rPr>
              <w:t>Nga</w:t>
            </w:r>
          </w:p>
        </w:tc>
        <w:tc>
          <w:tcPr>
            <w:tcW w:w="4678" w:type="dxa"/>
          </w:tcPr>
          <w:p w:rsidR="004173CD" w:rsidRPr="00866032" w:rsidRDefault="004173CD" w:rsidP="00034A4C">
            <w:pPr>
              <w:jc w:val="center"/>
              <w:rPr>
                <w:b/>
                <w:color w:val="000000" w:themeColor="text1"/>
              </w:rPr>
            </w:pPr>
            <w:r w:rsidRPr="00866032">
              <w:rPr>
                <w:b/>
                <w:color w:val="000000" w:themeColor="text1"/>
              </w:rPr>
              <w:t xml:space="preserve">                           TM. TRẠM Y TẾ</w:t>
            </w:r>
          </w:p>
          <w:p w:rsidR="004173CD" w:rsidRPr="00866032" w:rsidRDefault="004173CD" w:rsidP="00034A4C">
            <w:pPr>
              <w:jc w:val="center"/>
              <w:rPr>
                <w:b/>
                <w:color w:val="000000" w:themeColor="text1"/>
              </w:rPr>
            </w:pPr>
            <w:r w:rsidRPr="00866032">
              <w:rPr>
                <w:b/>
                <w:color w:val="000000" w:themeColor="text1"/>
              </w:rPr>
              <w:t xml:space="preserve">                            PHÓ GIÁM ĐỐC</w:t>
            </w:r>
          </w:p>
          <w:p w:rsidR="004173CD" w:rsidRPr="00866032" w:rsidRDefault="004173CD" w:rsidP="00034A4C">
            <w:pPr>
              <w:jc w:val="center"/>
              <w:rPr>
                <w:b/>
                <w:color w:val="000000" w:themeColor="text1"/>
              </w:rPr>
            </w:pPr>
          </w:p>
          <w:p w:rsidR="004173CD" w:rsidRPr="00866032" w:rsidRDefault="004173CD" w:rsidP="00034A4C">
            <w:pPr>
              <w:jc w:val="center"/>
              <w:rPr>
                <w:b/>
                <w:color w:val="000000" w:themeColor="text1"/>
              </w:rPr>
            </w:pPr>
          </w:p>
          <w:p w:rsidR="004173CD" w:rsidRPr="00866032" w:rsidRDefault="004173CD" w:rsidP="00034A4C">
            <w:pPr>
              <w:jc w:val="center"/>
              <w:rPr>
                <w:b/>
                <w:color w:val="000000" w:themeColor="text1"/>
              </w:rPr>
            </w:pPr>
            <w:r w:rsidRPr="00866032">
              <w:rPr>
                <w:b/>
                <w:color w:val="000000" w:themeColor="text1"/>
              </w:rPr>
              <w:t xml:space="preserve">                          Nguyễn Thị Kim Lưu</w:t>
            </w:r>
          </w:p>
          <w:p w:rsidR="004173CD" w:rsidRPr="00866032" w:rsidRDefault="004173CD" w:rsidP="00034A4C">
            <w:pPr>
              <w:jc w:val="center"/>
              <w:rPr>
                <w:b/>
                <w:color w:val="000000" w:themeColor="text1"/>
              </w:rPr>
            </w:pPr>
          </w:p>
          <w:p w:rsidR="004173CD" w:rsidRPr="00866032" w:rsidRDefault="004173CD" w:rsidP="00034A4C">
            <w:pPr>
              <w:jc w:val="center"/>
              <w:rPr>
                <w:b/>
                <w:color w:val="000000" w:themeColor="text1"/>
              </w:rPr>
            </w:pPr>
          </w:p>
          <w:p w:rsidR="004173CD" w:rsidRPr="00866032" w:rsidRDefault="004173CD" w:rsidP="00034A4C">
            <w:pPr>
              <w:jc w:val="center"/>
              <w:rPr>
                <w:b/>
                <w:color w:val="000000" w:themeColor="text1"/>
              </w:rPr>
            </w:pPr>
          </w:p>
        </w:tc>
        <w:tc>
          <w:tcPr>
            <w:tcW w:w="269" w:type="dxa"/>
          </w:tcPr>
          <w:p w:rsidR="004173CD" w:rsidRPr="00866032" w:rsidRDefault="004173CD" w:rsidP="00034A4C">
            <w:pPr>
              <w:jc w:val="both"/>
              <w:rPr>
                <w:b/>
                <w:color w:val="000000" w:themeColor="text1"/>
              </w:rPr>
            </w:pPr>
            <w:r w:rsidRPr="00866032">
              <w:rPr>
                <w:b/>
                <w:color w:val="000000" w:themeColor="text1"/>
              </w:rPr>
              <w:t xml:space="preserve">   </w:t>
            </w:r>
          </w:p>
        </w:tc>
      </w:tr>
    </w:tbl>
    <w:p w:rsidR="004173CD" w:rsidRDefault="004173CD" w:rsidP="004173CD">
      <w:pPr>
        <w:spacing w:after="200" w:line="276" w:lineRule="auto"/>
      </w:pPr>
    </w:p>
    <w:p w:rsidR="004173CD" w:rsidRDefault="004173CD"/>
    <w:sectPr w:rsidR="004173CD" w:rsidSect="004173C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CD"/>
    <w:rsid w:val="0041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3DB8"/>
  <w15:chartTrackingRefBased/>
  <w15:docId w15:val="{83611DA7-B9A8-4124-BEDF-0223BAE4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3C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3CD"/>
    <w:pPr>
      <w:spacing w:before="100" w:beforeAutospacing="1" w:after="100" w:afterAutospacing="1"/>
    </w:pPr>
    <w:rPr>
      <w:sz w:val="24"/>
      <w:szCs w:val="24"/>
    </w:rPr>
  </w:style>
  <w:style w:type="character" w:customStyle="1" w:styleId="fontstyle01">
    <w:name w:val="fontstyle01"/>
    <w:basedOn w:val="DefaultParagraphFont"/>
    <w:rsid w:val="004173CD"/>
    <w:rPr>
      <w:rFonts w:ascii="TimesNewRomanPSMT" w:hAnsi="TimesNewRomanPSMT" w:hint="default"/>
      <w:b w:val="0"/>
      <w:bCs w:val="0"/>
      <w:i w:val="0"/>
      <w:iCs w:val="0"/>
      <w:color w:val="000000"/>
      <w:sz w:val="26"/>
      <w:szCs w:val="26"/>
    </w:rPr>
  </w:style>
  <w:style w:type="character" w:styleId="Strong">
    <w:name w:val="Strong"/>
    <w:basedOn w:val="DefaultParagraphFont"/>
    <w:uiPriority w:val="22"/>
    <w:qFormat/>
    <w:rsid w:val="004173CD"/>
    <w:rPr>
      <w:b/>
      <w:bCs/>
    </w:rPr>
  </w:style>
  <w:style w:type="character" w:styleId="Emphasis">
    <w:name w:val="Emphasis"/>
    <w:basedOn w:val="DefaultParagraphFont"/>
    <w:uiPriority w:val="20"/>
    <w:qFormat/>
    <w:rsid w:val="00417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7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2026-02-03T01:18:00Z</cp:lastPrinted>
  <dcterms:created xsi:type="dcterms:W3CDTF">2026-02-03T01:14:00Z</dcterms:created>
  <dcterms:modified xsi:type="dcterms:W3CDTF">2026-02-03T01:18:00Z</dcterms:modified>
</cp:coreProperties>
</file>